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C03AAC">
      <w:pPr>
        <w:pStyle w:val="6"/>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2"/>
      <w:bookmarkStart w:id="1" w:name="OLE_LINK11"/>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14</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501098</w:t>
      </w:r>
      <w:bookmarkStart w:id="8" w:name="_GoBack"/>
      <w:bookmarkEnd w:id="8"/>
      <w:r>
        <w:rPr>
          <w:b/>
          <w:sz w:val="24"/>
          <w:szCs w:val="24"/>
          <w:highlight w:val="none"/>
        </w:rPr>
        <w:t xml:space="preserve">                      </w:t>
      </w:r>
    </w:p>
    <w:bookmarkEnd w:id="0"/>
    <w:bookmarkEnd w:id="1"/>
    <w:p w14:paraId="5C25862B">
      <w:pPr>
        <w:pStyle w:val="6"/>
        <w:tabs>
          <w:tab w:val="right" w:pos="9781"/>
          <w:tab w:val="right" w:pos="13323"/>
          <w:tab w:val="clear" w:pos="4153"/>
          <w:tab w:val="clear" w:pos="8306"/>
        </w:tabs>
        <w:outlineLvl w:val="0"/>
        <w:rPr>
          <w:rFonts w:hint="default" w:ascii="Times New Roman" w:hAnsi="Times New Roman" w:cs="Times New Roman"/>
          <w:b/>
          <w:sz w:val="24"/>
          <w:szCs w:val="24"/>
          <w:highlight w:val="none"/>
        </w:rPr>
      </w:pPr>
      <w:r>
        <w:rPr>
          <w:rFonts w:hint="default" w:ascii="Times New Roman" w:hAnsi="Times New Roman" w:cs="Times New Roman"/>
          <w:b/>
          <w:bCs/>
          <w:sz w:val="24"/>
          <w:highlight w:val="none"/>
        </w:rPr>
        <w:t>Athens, GR, 17</w:t>
      </w:r>
      <w:r>
        <w:rPr>
          <w:rFonts w:hint="default" w:ascii="Times New Roman" w:hAnsi="Times New Roman" w:cs="Times New Roman"/>
          <w:b/>
          <w:bCs/>
          <w:sz w:val="24"/>
          <w:highlight w:val="none"/>
          <w:vertAlign w:val="superscript"/>
        </w:rPr>
        <w:t>th</w:t>
      </w:r>
      <w:r>
        <w:rPr>
          <w:rFonts w:hint="default" w:ascii="Times New Roman" w:hAnsi="Times New Roman" w:cs="Times New Roman"/>
          <w:b/>
          <w:bCs/>
          <w:sz w:val="24"/>
          <w:highlight w:val="none"/>
        </w:rPr>
        <w:t xml:space="preserve"> – 21</w:t>
      </w:r>
      <w:r>
        <w:rPr>
          <w:rFonts w:hint="default" w:ascii="Times New Roman" w:hAnsi="Times New Roman" w:cs="Times New Roman"/>
          <w:b/>
          <w:bCs/>
          <w:sz w:val="24"/>
          <w:highlight w:val="none"/>
          <w:vertAlign w:val="superscript"/>
        </w:rPr>
        <w:t>st</w:t>
      </w:r>
      <w:r>
        <w:rPr>
          <w:rFonts w:hint="default" w:ascii="Times New Roman" w:hAnsi="Times New Roman" w:cs="Times New Roman"/>
          <w:b/>
          <w:bCs/>
          <w:sz w:val="24"/>
          <w:highlight w:val="none"/>
        </w:rPr>
        <w:t xml:space="preserve"> February, 2025</w:t>
      </w:r>
    </w:p>
    <w:p w14:paraId="3D617AAD">
      <w:pPr>
        <w:tabs>
          <w:tab w:val="left" w:pos="1985"/>
        </w:tabs>
        <w:rPr>
          <w:rFonts w:ascii="Times New Roman" w:hAnsi="Times New Roman"/>
          <w:b/>
          <w:sz w:val="22"/>
          <w:highlight w:val="none"/>
        </w:rPr>
      </w:pPr>
    </w:p>
    <w:p w14:paraId="3676EA0C">
      <w:pPr>
        <w:tabs>
          <w:tab w:val="left" w:pos="1765"/>
        </w:tabs>
        <w:rPr>
          <w:rFonts w:hint="eastAsia" w:ascii="Times New Roman" w:hAnsi="Times New Roman" w:eastAsia="宋体"/>
          <w:b/>
          <w:sz w:val="22"/>
          <w:highlight w:val="none"/>
          <w:lang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7</w:t>
      </w:r>
      <w:r>
        <w:rPr>
          <w:rFonts w:ascii="Times New Roman" w:hAnsi="Times New Roman"/>
          <w:sz w:val="22"/>
          <w:highlight w:val="none"/>
        </w:rPr>
        <w:t>.</w:t>
      </w:r>
      <w:r>
        <w:rPr>
          <w:rFonts w:hint="eastAsia" w:ascii="Times New Roman" w:hAnsi="Times New Roman"/>
          <w:sz w:val="22"/>
          <w:highlight w:val="none"/>
          <w:lang w:val="en-US" w:eastAsia="zh-CN"/>
        </w:rPr>
        <w:t>20.3</w:t>
      </w:r>
    </w:p>
    <w:p w14:paraId="6C5DDFAA">
      <w:pPr>
        <w:tabs>
          <w:tab w:val="left" w:pos="1765"/>
        </w:tabs>
        <w:rPr>
          <w:rFonts w:ascii="Times New Roman" w:hAnsi="Times New Roman"/>
          <w:sz w:val="22"/>
        </w:rPr>
      </w:pPr>
      <w:r>
        <w:rPr>
          <w:rFonts w:ascii="Times New Roman" w:hAnsi="Times New Roman"/>
          <w:b/>
          <w:sz w:val="22"/>
        </w:rPr>
        <w:t xml:space="preserve">Source: </w:t>
      </w:r>
      <w:r>
        <w:rPr>
          <w:rFonts w:ascii="Times New Roman" w:hAnsi="Times New Roman"/>
          <w:b/>
          <w:sz w:val="22"/>
        </w:rPr>
        <w:tab/>
      </w:r>
      <w:r>
        <w:rPr>
          <w:rFonts w:ascii="Times New Roman" w:hAnsi="Times New Roman"/>
          <w:sz w:val="22"/>
        </w:rPr>
        <w:t>CMCC</w:t>
      </w:r>
    </w:p>
    <w:p w14:paraId="2E69CEEC">
      <w:pPr>
        <w:rPr>
          <w:rFonts w:hint="default" w:ascii="Times New Roman" w:hAnsi="Times New Roman" w:eastAsia="宋体"/>
          <w:sz w:val="22"/>
          <w:lang w:val="en-US" w:eastAsia="zh-CN"/>
        </w:rPr>
      </w:pPr>
      <w:r>
        <w:rPr>
          <w:rFonts w:ascii="Times New Roman" w:hAnsi="Times New Roman"/>
          <w:b/>
          <w:sz w:val="22"/>
        </w:rPr>
        <w:t xml:space="preserve">Title: </w:t>
      </w:r>
      <w:r>
        <w:rPr>
          <w:rFonts w:ascii="Times New Roman" w:hAnsi="Times New Roman"/>
          <w:b/>
          <w:sz w:val="22"/>
        </w:rPr>
        <w:tab/>
      </w:r>
      <w:r>
        <w:rPr>
          <w:rFonts w:ascii="Times New Roman" w:hAnsi="Times New Roman"/>
          <w:b/>
          <w:sz w:val="22"/>
        </w:rPr>
        <w:tab/>
      </w:r>
      <w:r>
        <w:rPr>
          <w:rFonts w:ascii="Times New Roman" w:hAnsi="Times New Roman"/>
          <w:b/>
          <w:sz w:val="22"/>
        </w:rPr>
        <w:tab/>
      </w:r>
      <w:r>
        <w:rPr>
          <w:rFonts w:ascii="Times New Roman" w:hAnsi="Times New Roman"/>
          <w:b/>
          <w:sz w:val="22"/>
        </w:rPr>
        <w:t xml:space="preserve"> </w:t>
      </w:r>
      <w:bookmarkStart w:id="2" w:name="OLE_LINK24"/>
      <w:bookmarkStart w:id="3" w:name="OLE_LINK23"/>
      <w:bookmarkStart w:id="4" w:name="OLE_LINK7"/>
      <w:bookmarkStart w:id="5" w:name="OLE_LINK8"/>
      <w:r>
        <w:rPr>
          <w:rFonts w:ascii="Times New Roman" w:hAnsi="Times New Roman"/>
          <w:sz w:val="22"/>
        </w:rPr>
        <w:t>D</w:t>
      </w:r>
      <w:r>
        <w:rPr>
          <w:rFonts w:hint="eastAsia" w:ascii="Times New Roman" w:hAnsi="Times New Roman"/>
          <w:sz w:val="22"/>
        </w:rPr>
        <w:t xml:space="preserve">iscussion on </w:t>
      </w:r>
      <w:bookmarkEnd w:id="2"/>
      <w:bookmarkEnd w:id="3"/>
      <w:r>
        <w:rPr>
          <w:rFonts w:hint="eastAsia" w:ascii="Times New Roman" w:hAnsi="Times New Roman"/>
          <w:sz w:val="22"/>
          <w:lang w:val="en-US" w:eastAsia="zh-CN"/>
        </w:rPr>
        <w:t>testing issues for CSI compression two-sided models</w:t>
      </w:r>
    </w:p>
    <w:bookmarkEnd w:id="4"/>
    <w:bookmarkEnd w:id="5"/>
    <w:p w14:paraId="34A4438F">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06F58ECE">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756A966C">
      <w:pPr>
        <w:spacing w:after="180" w:line="240" w:lineRule="exact"/>
        <w:rPr>
          <w:rFonts w:ascii="Times New Roman" w:hAnsi="Times New Roman"/>
          <w:sz w:val="20"/>
          <w:szCs w:val="20"/>
        </w:rPr>
      </w:pPr>
      <w:r>
        <w:rPr>
          <w:rFonts w:ascii="Times New Roman" w:hAnsi="Times New Roman"/>
          <w:sz w:val="20"/>
          <w:szCs w:val="20"/>
        </w:rPr>
        <w:t>In RAN #</w:t>
      </w:r>
      <w:r>
        <w:rPr>
          <w:rFonts w:hint="eastAsia" w:ascii="Times New Roman" w:hAnsi="Times New Roman"/>
          <w:sz w:val="20"/>
          <w:szCs w:val="20"/>
          <w:lang w:val="en-US" w:eastAsia="zh-CN"/>
        </w:rPr>
        <w:t>106</w:t>
      </w:r>
      <w:r>
        <w:rPr>
          <w:rFonts w:ascii="Times New Roman" w:hAnsi="Times New Roman"/>
          <w:sz w:val="20"/>
          <w:szCs w:val="20"/>
        </w:rPr>
        <w:t xml:space="preserve"> meeting, </w:t>
      </w:r>
      <w:r>
        <w:rPr>
          <w:rFonts w:hint="eastAsia" w:ascii="Times New Roman" w:hAnsi="Times New Roman"/>
          <w:sz w:val="20"/>
          <w:szCs w:val="20"/>
          <w:lang w:val="en-US" w:eastAsia="zh-CN"/>
        </w:rPr>
        <w:t xml:space="preserve">a new SID on Artificial Intelligence (AI)/Machine Learning (ML) for NR air interface Phase 2 was approved [1], and the objectives are same as the study aspects that were included in the REL-19 NR_AIML_air WI [2]. </w:t>
      </w:r>
      <w:r>
        <w:rPr>
          <w:rFonts w:ascii="Times New Roman" w:hAnsi="Times New Roman"/>
          <w:sz w:val="20"/>
          <w:szCs w:val="20"/>
        </w:rPr>
        <w:t>The objectives for RAN4 are duplicated as following.</w:t>
      </w:r>
    </w:p>
    <w:tbl>
      <w:tblPr>
        <w:tblStyle w:val="7"/>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30"/>
      </w:tblGrid>
      <w:tr w14:paraId="34A8A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noWrap w:val="0"/>
            <w:vAlign w:val="top"/>
          </w:tcPr>
          <w:p w14:paraId="11C16C23">
            <w:pPr>
              <w:numPr>
                <w:ilvl w:val="0"/>
                <w:numId w:val="4"/>
              </w:numPr>
              <w:spacing w:after="0"/>
              <w:ind w:left="420" w:leftChars="0" w:hanging="420" w:firstLineChars="0"/>
              <w:rPr>
                <w:rFonts w:hint="default" w:ascii="Times New Roman" w:hAnsi="Times New Roman" w:cs="Times New Roman"/>
                <w:bCs/>
                <w:sz w:val="20"/>
                <w:szCs w:val="20"/>
              </w:rPr>
            </w:pPr>
            <w:r>
              <w:rPr>
                <w:rFonts w:hint="default" w:ascii="Times New Roman" w:hAnsi="Times New Roman" w:cs="Times New Roman"/>
                <w:bCs/>
                <w:sz w:val="20"/>
                <w:szCs w:val="20"/>
              </w:rPr>
              <w:t xml:space="preserve">Testability and interoperability [RAN4]: </w:t>
            </w:r>
          </w:p>
          <w:p w14:paraId="3971807E">
            <w:pPr>
              <w:numPr>
                <w:ilvl w:val="1"/>
                <w:numId w:val="5"/>
              </w:numPr>
              <w:spacing w:after="0"/>
              <w:ind w:left="1020" w:leftChars="0"/>
              <w:rPr>
                <w:rFonts w:hint="default" w:ascii="Times New Roman" w:hAnsi="Times New Roman" w:cs="Times New Roman"/>
                <w:bCs/>
                <w:sz w:val="20"/>
                <w:szCs w:val="20"/>
              </w:rPr>
            </w:pPr>
            <w:r>
              <w:rPr>
                <w:rFonts w:hint="default" w:ascii="Times New Roman" w:hAnsi="Times New Roman" w:cs="Times New Roman"/>
                <w:bCs/>
                <w:sz w:val="20"/>
                <w:szCs w:val="20"/>
              </w:rPr>
              <w:t xml:space="preserve">Finalize the testing framework and procedure for one-sided models and further analyse the various testing options for two-sided models, in collaboration with RAN1, and including at least: </w:t>
            </w:r>
          </w:p>
          <w:p w14:paraId="4A66B590">
            <w:pPr>
              <w:numPr>
                <w:ilvl w:val="2"/>
                <w:numId w:val="5"/>
              </w:numPr>
              <w:overflowPunct/>
              <w:autoSpaceDE/>
              <w:autoSpaceDN/>
              <w:adjustRightInd/>
              <w:spacing w:after="0" w:line="259" w:lineRule="auto"/>
              <w:ind w:left="1740" w:leftChars="0"/>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Relation to legacy requirements</w:t>
            </w:r>
          </w:p>
          <w:p w14:paraId="37D57965">
            <w:pPr>
              <w:numPr>
                <w:ilvl w:val="2"/>
                <w:numId w:val="5"/>
              </w:numPr>
              <w:overflowPunct/>
              <w:autoSpaceDE/>
              <w:autoSpaceDN/>
              <w:adjustRightInd/>
              <w:spacing w:after="0" w:line="259" w:lineRule="auto"/>
              <w:ind w:left="1740" w:leftChars="0"/>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Performance monitoring and LCM aspects considering use-case specifics</w:t>
            </w:r>
          </w:p>
          <w:p w14:paraId="5FA56B5F">
            <w:pPr>
              <w:numPr>
                <w:ilvl w:val="2"/>
                <w:numId w:val="5"/>
              </w:numPr>
              <w:overflowPunct/>
              <w:autoSpaceDE/>
              <w:autoSpaceDN/>
              <w:adjustRightInd/>
              <w:spacing w:after="0" w:line="259" w:lineRule="auto"/>
              <w:ind w:left="1740" w:leftChars="0"/>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 xml:space="preserve">Generalization aspects </w:t>
            </w:r>
          </w:p>
          <w:p w14:paraId="7EEA0EA1">
            <w:pPr>
              <w:numPr>
                <w:ilvl w:val="2"/>
                <w:numId w:val="5"/>
              </w:numPr>
              <w:overflowPunct/>
              <w:autoSpaceDE/>
              <w:autoSpaceDN/>
              <w:adjustRightInd/>
              <w:spacing w:after="0" w:line="259" w:lineRule="auto"/>
              <w:ind w:left="1740" w:leftChars="0"/>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Static/non-static scenarios/conditions and propagation conditions for testing (e.g., CDL, field data, etc.)</w:t>
            </w:r>
          </w:p>
          <w:p w14:paraId="6955C761">
            <w:pPr>
              <w:numPr>
                <w:ilvl w:val="2"/>
                <w:numId w:val="5"/>
              </w:numPr>
              <w:overflowPunct/>
              <w:autoSpaceDE/>
              <w:autoSpaceDN/>
              <w:adjustRightInd/>
              <w:spacing w:after="0" w:line="259" w:lineRule="auto"/>
              <w:ind w:left="1740" w:leftChars="0"/>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UE processing capability and limitations</w:t>
            </w:r>
          </w:p>
          <w:p w14:paraId="63C862D2">
            <w:pPr>
              <w:numPr>
                <w:ilvl w:val="2"/>
                <w:numId w:val="5"/>
              </w:numPr>
              <w:overflowPunct/>
              <w:autoSpaceDE/>
              <w:autoSpaceDN/>
              <w:adjustRightInd/>
              <w:spacing w:after="0" w:line="259" w:lineRule="auto"/>
              <w:ind w:left="1740" w:leftChars="0"/>
              <w:contextualSpacing/>
              <w:textAlignment w:val="auto"/>
              <w:rPr>
                <w:rFonts w:hint="default" w:ascii="Times New Roman" w:hAnsi="Times New Roman" w:cs="Times New Roman"/>
                <w:bCs/>
                <w:sz w:val="20"/>
                <w:szCs w:val="20"/>
              </w:rPr>
            </w:pPr>
            <w:r>
              <w:rPr>
                <w:rFonts w:hint="default" w:ascii="Times New Roman" w:hAnsi="Times New Roman" w:eastAsia="Batang" w:cs="Times New Roman"/>
                <w:sz w:val="20"/>
                <w:szCs w:val="20"/>
              </w:rPr>
              <w:t>Post-deployment validation due to model change/drift</w:t>
            </w:r>
          </w:p>
        </w:tc>
      </w:tr>
    </w:tbl>
    <w:p w14:paraId="405188DE">
      <w:pPr>
        <w:spacing w:before="180" w:after="180" w:line="240" w:lineRule="exact"/>
        <w:rPr>
          <w:rFonts w:hint="eastAsia" w:ascii="Times New Roman" w:hAnsi="Times New Roman"/>
          <w:sz w:val="20"/>
          <w:szCs w:val="20"/>
        </w:rPr>
      </w:pPr>
      <w:r>
        <w:rPr>
          <w:rFonts w:hint="eastAsia" w:ascii="Times New Roman" w:hAnsi="Times New Roman"/>
          <w:sz w:val="20"/>
          <w:szCs w:val="20"/>
          <w:lang w:val="en-US" w:eastAsia="zh-CN"/>
        </w:rPr>
        <w:t xml:space="preserve">In last meeting, there is discussion on Artificial Intelligence (AI)/Machine Learning (ML) for NR Air Interface, and a WF was approved [3]. </w:t>
      </w:r>
      <w:r>
        <w:rPr>
          <w:rFonts w:ascii="Times New Roman" w:hAnsi="Times New Roman"/>
          <w:sz w:val="20"/>
          <w:szCs w:val="20"/>
        </w:rPr>
        <w:t>T</w:t>
      </w:r>
      <w:r>
        <w:rPr>
          <w:rFonts w:hint="eastAsia" w:ascii="Times New Roman" w:hAnsi="Times New Roman"/>
          <w:sz w:val="20"/>
          <w:szCs w:val="20"/>
        </w:rPr>
        <w:t xml:space="preserve">his contribution provides discussion on </w:t>
      </w:r>
      <w:r>
        <w:rPr>
          <w:rFonts w:hint="eastAsia" w:ascii="Times New Roman" w:hAnsi="Times New Roman"/>
          <w:sz w:val="20"/>
          <w:szCs w:val="20"/>
          <w:lang w:val="en-US" w:eastAsia="zh-CN"/>
        </w:rPr>
        <w:t>t</w:t>
      </w:r>
      <w:r>
        <w:rPr>
          <w:rFonts w:hint="eastAsia" w:ascii="Times New Roman" w:hAnsi="Times New Roman"/>
          <w:sz w:val="20"/>
          <w:szCs w:val="20"/>
        </w:rPr>
        <w:t>esting issues for CSI compression two-sided models.</w:t>
      </w:r>
    </w:p>
    <w:p w14:paraId="55F54AC1">
      <w:pPr>
        <w:pStyle w:val="2"/>
        <w:widowControl/>
        <w:numPr>
          <w:ilvl w:val="0"/>
          <w:numId w:val="3"/>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1"/>
      <w:bookmarkStart w:id="7" w:name="OLE_LINK2"/>
      <w:r>
        <w:rPr>
          <w:rFonts w:ascii="Times New Roman" w:hAnsi="Times New Roman"/>
          <w:i/>
          <w:sz w:val="20"/>
          <w:szCs w:val="20"/>
        </w:rPr>
        <w:t xml:space="preserve"> </w:t>
      </w:r>
    </w:p>
    <w:bookmarkEnd w:id="6"/>
    <w:bookmarkEnd w:id="7"/>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1D930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453DEE81">
            <w:pPr>
              <w:rPr>
                <w:rFonts w:hint="default" w:ascii="Times New Roman" w:hAnsi="Times New Roman" w:cs="Times New Roman"/>
                <w:b/>
                <w:sz w:val="20"/>
                <w:szCs w:val="20"/>
                <w:u w:val="single"/>
                <w:lang w:eastAsia="ko-KR"/>
              </w:rPr>
            </w:pPr>
            <w:r>
              <w:rPr>
                <w:rFonts w:hint="default" w:ascii="Times New Roman" w:hAnsi="Times New Roman" w:cs="Times New Roman"/>
                <w:b/>
                <w:sz w:val="20"/>
                <w:szCs w:val="20"/>
                <w:u w:val="single"/>
                <w:lang w:eastAsia="ko-KR"/>
              </w:rPr>
              <w:t xml:space="preserve">Issue </w:t>
            </w:r>
            <w:r>
              <w:rPr>
                <w:rFonts w:hint="default" w:ascii="Times New Roman" w:hAnsi="Times New Roman" w:eastAsia="Yu Mincho" w:cs="Times New Roman"/>
                <w:b/>
                <w:sz w:val="20"/>
                <w:szCs w:val="20"/>
                <w:u w:val="single"/>
                <w:lang w:eastAsia="ja-JP"/>
              </w:rPr>
              <w:t>1</w:t>
            </w:r>
            <w:r>
              <w:rPr>
                <w:rFonts w:hint="default" w:ascii="Times New Roman" w:hAnsi="Times New Roman" w:cs="Times New Roman"/>
                <w:b/>
                <w:sz w:val="20"/>
                <w:szCs w:val="20"/>
                <w:u w:val="single"/>
                <w:lang w:eastAsia="ko-KR"/>
              </w:rPr>
              <w:t xml:space="preserve">-2: </w:t>
            </w:r>
            <w:r>
              <w:rPr>
                <w:rFonts w:hint="default" w:ascii="Times New Roman" w:hAnsi="Times New Roman" w:eastAsia="Yu Mincho" w:cs="Times New Roman"/>
                <w:b/>
                <w:sz w:val="20"/>
                <w:szCs w:val="20"/>
                <w:u w:val="single"/>
                <w:lang w:eastAsia="ja-JP"/>
              </w:rPr>
              <w:t>Option 3 next step - decoder(s) selection</w:t>
            </w:r>
          </w:p>
          <w:p w14:paraId="4A7F9598">
            <w:pPr>
              <w:rPr>
                <w:rFonts w:hint="default" w:ascii="Times New Roman" w:hAnsi="Times New Roman" w:eastAsia="Yu Mincho" w:cs="Times New Roman"/>
                <w:sz w:val="20"/>
                <w:szCs w:val="20"/>
                <w:lang w:eastAsia="ja-JP"/>
              </w:rPr>
            </w:pPr>
            <w:r>
              <w:rPr>
                <w:rFonts w:hint="default" w:ascii="Times New Roman" w:hAnsi="Times New Roman" w:eastAsia="Yu Mincho" w:cs="Times New Roman"/>
                <w:sz w:val="20"/>
                <w:szCs w:val="20"/>
                <w:lang w:eastAsia="ja-JP"/>
              </w:rPr>
              <w:t>Agreement:</w:t>
            </w:r>
          </w:p>
          <w:p w14:paraId="12BA8F8B">
            <w:pPr>
              <w:pStyle w:val="10"/>
              <w:overflowPunct w:val="0"/>
              <w:autoSpaceDE w:val="0"/>
              <w:autoSpaceDN w:val="0"/>
              <w:adjustRightInd w:val="0"/>
              <w:ind w:firstLine="0" w:firstLineChars="0"/>
              <w:contextualSpacing/>
              <w:textAlignment w:val="baseline"/>
              <w:rPr>
                <w:rFonts w:hint="default" w:ascii="Times New Roman" w:hAnsi="Times New Roman" w:eastAsia="Yu Mincho" w:cs="Times New Roman"/>
                <w:iCs/>
                <w:sz w:val="20"/>
                <w:szCs w:val="20"/>
                <w:lang w:eastAsia="ja-JP"/>
              </w:rPr>
            </w:pPr>
            <w:r>
              <w:rPr>
                <w:rFonts w:hint="default" w:ascii="Times New Roman" w:hAnsi="Times New Roman" w:eastAsia="Yu Mincho" w:cs="Times New Roman"/>
                <w:iCs/>
                <w:sz w:val="20"/>
                <w:szCs w:val="20"/>
                <w:lang w:eastAsia="ja-JP"/>
              </w:rPr>
              <w:t>choose the decoders with Low, medium, high SGCS among the decoders submitted by companies</w:t>
            </w:r>
          </w:p>
          <w:p w14:paraId="0D0BA4B6">
            <w:pPr>
              <w:rPr>
                <w:rFonts w:hint="default" w:ascii="Times New Roman" w:hAnsi="Times New Roman" w:eastAsia="Yu Mincho" w:cs="Times New Roman"/>
                <w:sz w:val="20"/>
                <w:szCs w:val="20"/>
                <w:lang w:eastAsia="ja-JP"/>
              </w:rPr>
            </w:pPr>
            <w:r>
              <w:rPr>
                <w:rFonts w:hint="default" w:ascii="Times New Roman" w:hAnsi="Times New Roman" w:eastAsia="Yu Mincho" w:cs="Times New Roman"/>
                <w:sz w:val="20"/>
                <w:szCs w:val="20"/>
                <w:lang w:eastAsia="ja-JP"/>
              </w:rPr>
              <w:t>Continue the feasibility study on the two tracks below:</w:t>
            </w:r>
          </w:p>
          <w:p w14:paraId="64BF3DA2">
            <w:pPr>
              <w:rPr>
                <w:rFonts w:hint="default" w:ascii="Times New Roman" w:hAnsi="Times New Roman" w:eastAsia="Yu Mincho" w:cs="Times New Roman"/>
                <w:iCs/>
                <w:sz w:val="20"/>
                <w:szCs w:val="20"/>
                <w:lang w:eastAsia="ja-JP"/>
              </w:rPr>
            </w:pPr>
            <w:r>
              <w:rPr>
                <w:rFonts w:hint="default" w:ascii="Times New Roman" w:hAnsi="Times New Roman" w:eastAsia="Yu Mincho" w:cs="Times New Roman"/>
                <w:iCs/>
                <w:sz w:val="20"/>
                <w:szCs w:val="20"/>
                <w:lang w:eastAsia="ja-JP"/>
              </w:rPr>
              <w:t>Track 1: Select 3 decoders at RAN4#113. Companies train own encoders (with own Eigenvector dataset) and check performance against decoders (with at least own test dataset)</w:t>
            </w:r>
          </w:p>
          <w:p w14:paraId="17AC6F75">
            <w:pPr>
              <w:pStyle w:val="10"/>
              <w:numPr>
                <w:ilvl w:val="0"/>
                <w:numId w:val="6"/>
              </w:numPr>
              <w:overflowPunct w:val="0"/>
              <w:autoSpaceDE w:val="0"/>
              <w:autoSpaceDN w:val="0"/>
              <w:adjustRightInd w:val="0"/>
              <w:ind w:firstLineChars="0"/>
              <w:contextualSpacing/>
              <w:textAlignment w:val="baseline"/>
              <w:rPr>
                <w:rFonts w:hint="default" w:ascii="Times New Roman" w:hAnsi="Times New Roman" w:eastAsia="Yu Mincho" w:cs="Times New Roman"/>
                <w:iCs/>
                <w:sz w:val="20"/>
                <w:szCs w:val="20"/>
                <w:lang w:eastAsia="ja-JP"/>
              </w:rPr>
            </w:pPr>
            <w:r>
              <w:rPr>
                <w:rFonts w:hint="default" w:ascii="Times New Roman" w:hAnsi="Times New Roman" w:eastAsia="Yu Mincho" w:cs="Times New Roman"/>
                <w:iCs/>
                <w:sz w:val="20"/>
                <w:szCs w:val="20"/>
                <w:lang w:eastAsia="ja-JP"/>
              </w:rPr>
              <w:t>The 3 decoders are selected based on low, medium, high mean SGCS out of available decoders</w:t>
            </w:r>
          </w:p>
          <w:p w14:paraId="4D3C9BCB">
            <w:pPr>
              <w:pStyle w:val="10"/>
              <w:numPr>
                <w:ilvl w:val="0"/>
                <w:numId w:val="6"/>
              </w:numPr>
              <w:overflowPunct w:val="0"/>
              <w:autoSpaceDE w:val="0"/>
              <w:autoSpaceDN w:val="0"/>
              <w:adjustRightInd w:val="0"/>
              <w:ind w:firstLineChars="0"/>
              <w:contextualSpacing/>
              <w:textAlignment w:val="baseline"/>
              <w:rPr>
                <w:rFonts w:hint="default" w:ascii="Times New Roman" w:hAnsi="Times New Roman" w:eastAsia="Yu Mincho" w:cs="Times New Roman"/>
                <w:iCs/>
                <w:sz w:val="20"/>
                <w:szCs w:val="20"/>
                <w:lang w:eastAsia="ja-JP"/>
              </w:rPr>
            </w:pPr>
            <w:r>
              <w:rPr>
                <w:rFonts w:hint="default" w:ascii="Times New Roman" w:hAnsi="Times New Roman" w:eastAsia="Yu Mincho" w:cs="Times New Roman"/>
                <w:iCs/>
                <w:sz w:val="20"/>
                <w:szCs w:val="20"/>
                <w:lang w:eastAsia="ja-JP"/>
              </w:rPr>
              <w:t>At least an encoder with the agreed model structure should be considered when making own encoder. Optionally companies can try own encoder with their preferred structure. Companies should report the structure if different.</w:t>
            </w:r>
          </w:p>
          <w:p w14:paraId="29318EBE">
            <w:pPr>
              <w:rPr>
                <w:rFonts w:hint="default" w:ascii="Times New Roman" w:hAnsi="Times New Roman" w:eastAsia="Yu Mincho" w:cs="Times New Roman"/>
                <w:iCs/>
                <w:sz w:val="20"/>
                <w:szCs w:val="20"/>
                <w:lang w:eastAsia="ja-JP"/>
              </w:rPr>
            </w:pPr>
            <w:r>
              <w:rPr>
                <w:rFonts w:hint="default" w:ascii="Times New Roman" w:hAnsi="Times New Roman" w:eastAsia="Yu Mincho" w:cs="Times New Roman"/>
                <w:iCs/>
                <w:sz w:val="20"/>
                <w:szCs w:val="20"/>
                <w:lang w:eastAsia="ja-JP"/>
              </w:rPr>
              <w:t>Track 2: Create a mixed dataset at RAN4#113. By RAN4#114, companies train decoders based on the mixed dataset. At RAN4#114, one or more decoder selected and after RAN4#114, companies develop encoders and check encoder performance with own dataset checked against decoder(s).</w:t>
            </w:r>
          </w:p>
          <w:p w14:paraId="4E7A5A1D">
            <w:pPr>
              <w:pStyle w:val="10"/>
              <w:numPr>
                <w:ilvl w:val="0"/>
                <w:numId w:val="6"/>
              </w:numPr>
              <w:overflowPunct w:val="0"/>
              <w:autoSpaceDE w:val="0"/>
              <w:autoSpaceDN w:val="0"/>
              <w:adjustRightInd w:val="0"/>
              <w:ind w:firstLineChars="0"/>
              <w:contextualSpacing/>
              <w:textAlignment w:val="baseline"/>
              <w:rPr>
                <w:rFonts w:hint="default" w:ascii="Times New Roman" w:hAnsi="Times New Roman" w:eastAsia="等线" w:cs="Times New Roman"/>
                <w:bCs/>
                <w:iCs/>
                <w:color w:val="auto"/>
                <w:sz w:val="20"/>
                <w:szCs w:val="20"/>
                <w:vertAlign w:val="baseline"/>
                <w:lang w:val="en-US" w:eastAsia="zh-CN"/>
              </w:rPr>
            </w:pPr>
            <w:r>
              <w:rPr>
                <w:rFonts w:hint="default" w:ascii="Times New Roman" w:hAnsi="Times New Roman" w:eastAsia="Yu Mincho" w:cs="Times New Roman"/>
                <w:iCs/>
                <w:sz w:val="20"/>
                <w:szCs w:val="20"/>
                <w:lang w:eastAsia="ja-JP"/>
              </w:rPr>
              <w:t>At least an encoder with the agreed model structure should be considered when making own encoder. Optionally companies can try own encoder with their preferred structure. Companies should report the structure if different.</w:t>
            </w:r>
          </w:p>
        </w:tc>
      </w:tr>
    </w:tbl>
    <w:p w14:paraId="059097A5">
      <w:pPr>
        <w:spacing w:after="180" w:line="240" w:lineRule="exact"/>
        <w:rPr>
          <w:rFonts w:hint="eastAsia" w:ascii="Times New Roman" w:hAnsi="Times New Roman" w:eastAsia="等线"/>
          <w:bCs/>
          <w:iCs/>
          <w:sz w:val="20"/>
          <w:szCs w:val="20"/>
          <w:lang w:val="en-US" w:eastAsia="zh-CN"/>
        </w:rPr>
      </w:pPr>
    </w:p>
    <w:p w14:paraId="613D895D">
      <w:pPr>
        <w:pStyle w:val="10"/>
        <w:keepNext w:val="0"/>
        <w:keepLines w:val="0"/>
        <w:pageBreakBefore w:val="0"/>
        <w:widowControl/>
        <w:kinsoku/>
        <w:wordWrap/>
        <w:overflowPunct w:val="0"/>
        <w:topLinePunct w:val="0"/>
        <w:autoSpaceDE w:val="0"/>
        <w:autoSpaceDN w:val="0"/>
        <w:bidi w:val="0"/>
        <w:adjustRightInd w:val="0"/>
        <w:snapToGrid/>
        <w:spacing w:after="180"/>
        <w:ind w:firstLine="0" w:firstLineChars="0"/>
        <w:contextualSpacing/>
        <w:jc w:val="both"/>
        <w:textAlignment w:val="baseline"/>
        <w:rPr>
          <w:rFonts w:hint="eastAsia" w:ascii="Times New Roman" w:hAnsi="Times New Roman" w:cs="Times New Roman"/>
          <w:iCs/>
          <w:sz w:val="20"/>
          <w:szCs w:val="20"/>
          <w:lang w:val="en-US" w:eastAsia="zh-CN"/>
        </w:rPr>
      </w:pPr>
      <w:r>
        <w:rPr>
          <w:rFonts w:hint="eastAsia" w:ascii="Times New Roman" w:hAnsi="Times New Roman" w:cs="Times New Roman"/>
          <w:iCs/>
          <w:sz w:val="20"/>
          <w:szCs w:val="20"/>
          <w:lang w:val="en-US" w:eastAsia="zh-CN"/>
        </w:rPr>
        <w:t xml:space="preserve">For the </w:t>
      </w:r>
      <w:r>
        <w:rPr>
          <w:rFonts w:hint="default" w:ascii="Times New Roman" w:hAnsi="Times New Roman" w:eastAsia="Yu Mincho" w:cs="Times New Roman"/>
          <w:sz w:val="20"/>
          <w:szCs w:val="20"/>
          <w:lang w:eastAsia="ja-JP"/>
        </w:rPr>
        <w:t xml:space="preserve">feasibility study </w:t>
      </w:r>
      <w:r>
        <w:rPr>
          <w:rFonts w:hint="eastAsia" w:ascii="Times New Roman" w:hAnsi="Times New Roman" w:cs="Times New Roman"/>
          <w:sz w:val="20"/>
          <w:szCs w:val="20"/>
          <w:lang w:val="en-US" w:eastAsia="zh-CN"/>
        </w:rPr>
        <w:t xml:space="preserve">of option 3, there are two tracks. Track 1 is that companies train own encoders (with own Eigenvector dataset) and check performance against decoders (with at least own test dataset), where decoders are chosed </w:t>
      </w:r>
      <w:r>
        <w:rPr>
          <w:rFonts w:hint="default" w:ascii="Times New Roman" w:hAnsi="Times New Roman" w:eastAsia="Yu Mincho" w:cs="Times New Roman"/>
          <w:iCs/>
          <w:sz w:val="20"/>
          <w:szCs w:val="20"/>
          <w:lang w:eastAsia="ja-JP"/>
        </w:rPr>
        <w:t xml:space="preserve">with </w:t>
      </w:r>
      <w:r>
        <w:rPr>
          <w:rFonts w:hint="eastAsia" w:ascii="Times New Roman" w:hAnsi="Times New Roman" w:cs="Times New Roman"/>
          <w:iCs/>
          <w:sz w:val="20"/>
          <w:szCs w:val="20"/>
          <w:lang w:val="en-US" w:eastAsia="zh-CN"/>
        </w:rPr>
        <w:t>l</w:t>
      </w:r>
      <w:r>
        <w:rPr>
          <w:rFonts w:hint="default" w:ascii="Times New Roman" w:hAnsi="Times New Roman" w:eastAsia="Yu Mincho" w:cs="Times New Roman"/>
          <w:iCs/>
          <w:sz w:val="20"/>
          <w:szCs w:val="20"/>
          <w:lang w:eastAsia="ja-JP"/>
        </w:rPr>
        <w:t>ow, medium, high SGCS among the decoders submitted by companies</w:t>
      </w:r>
      <w:r>
        <w:rPr>
          <w:rFonts w:hint="eastAsia" w:ascii="Times New Roman" w:hAnsi="Times New Roman" w:cs="Times New Roman"/>
          <w:iCs/>
          <w:sz w:val="20"/>
          <w:szCs w:val="20"/>
          <w:lang w:val="en-US" w:eastAsia="zh-CN"/>
        </w:rPr>
        <w:t xml:space="preserve">. Track 2 is to create a mixed dataset at RAN4#113, and by RAN4#114, companies train decoders based on the mixed dataset. At RAN4#114, one or more decoder selected and after RAN4#114, companies develop encoders and check encoder performance with own dataset checked against decoder(s). </w:t>
      </w:r>
    </w:p>
    <w:p w14:paraId="18F212BF">
      <w:pPr>
        <w:pStyle w:val="10"/>
        <w:keepNext w:val="0"/>
        <w:keepLines w:val="0"/>
        <w:pageBreakBefore w:val="0"/>
        <w:widowControl/>
        <w:kinsoku/>
        <w:wordWrap/>
        <w:overflowPunct w:val="0"/>
        <w:topLinePunct w:val="0"/>
        <w:autoSpaceDE w:val="0"/>
        <w:autoSpaceDN w:val="0"/>
        <w:bidi w:val="0"/>
        <w:adjustRightInd w:val="0"/>
        <w:snapToGrid/>
        <w:spacing w:after="180"/>
        <w:ind w:firstLine="0" w:firstLineChars="0"/>
        <w:contextualSpacing/>
        <w:jc w:val="both"/>
        <w:textAlignment w:val="baseline"/>
        <w:rPr>
          <w:rFonts w:hint="eastAsia" w:ascii="Times New Roman" w:hAnsi="Times New Roman" w:cs="Times New Roman"/>
          <w:iCs/>
          <w:sz w:val="20"/>
          <w:szCs w:val="20"/>
          <w:lang w:val="en-US" w:eastAsia="zh-CN"/>
        </w:rPr>
      </w:pPr>
      <w:r>
        <w:rPr>
          <w:rFonts w:hint="eastAsia" w:ascii="Times New Roman" w:hAnsi="Times New Roman" w:cs="Times New Roman"/>
          <w:iCs/>
          <w:sz w:val="20"/>
          <w:szCs w:val="20"/>
          <w:lang w:val="en-US" w:eastAsia="zh-CN"/>
        </w:rPr>
        <w:t>For track 2, during the email discussion, one issue identified is how to create a mixed dataset based on the dataset shared by companies. For the purpose of alignment, it may be not a good way to create mixed datasets individually. It is preferred to have some rules about the mixture of dataset. According to the email discussion, some commpanies suggest that mixed dataset is constructed from the first (size of the dataset)/n samples from each of the datasets, where n is the number of contributed companies, assuming that the size of dataset is kept the same. There is also another solution to keep the dataset from each commpany is kept the same while the tatal size of mixture is increased with the number of companies which provide dataset is increased. In detail, the mixed dataset is made of first 100K samples from each of the datasets, where first 90K samples are used for training, and last 10K samples are used for testing. There would be total 100*n K samples, where n is the number of all contributed companies. We are not sure whether different way of dataset mixture will have impact on performance allignment, it is better for RAN4 to agree on how to create the mixed dataset.</w:t>
      </w:r>
    </w:p>
    <w:p w14:paraId="19033BDA">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
          <w:bCs w:val="0"/>
          <w:i/>
          <w:iCs w:val="0"/>
          <w:sz w:val="20"/>
          <w:szCs w:val="20"/>
          <w:lang w:val="en-US" w:eastAsia="zh-CN"/>
        </w:rPr>
        <w:t xml:space="preserve">Proposal 1: for </w:t>
      </w:r>
      <w:r>
        <w:rPr>
          <w:rFonts w:hint="eastAsia" w:ascii="Times New Roman" w:hAnsi="Times New Roman" w:cs="Times New Roman"/>
          <w:b/>
          <w:bCs w:val="0"/>
          <w:i/>
          <w:iCs w:val="0"/>
          <w:sz w:val="20"/>
          <w:szCs w:val="20"/>
          <w:lang w:val="en-US" w:eastAsia="zh-CN"/>
        </w:rPr>
        <w:t>track 2 of option 3, it is proposed to agree on how to create the mixed dataset.</w:t>
      </w:r>
      <w:r>
        <w:rPr>
          <w:rFonts w:hint="eastAsia" w:ascii="Times New Roman" w:hAnsi="Times New Roman" w:eastAsia="等线"/>
          <w:b/>
          <w:bCs w:val="0"/>
          <w:i/>
          <w:iCs w:val="0"/>
          <w:sz w:val="20"/>
          <w:szCs w:val="20"/>
          <w:lang w:val="en-US" w:eastAsia="zh-CN"/>
        </w:rPr>
        <w:t xml:space="preserve">    </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50C33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6945AC4B">
            <w:pPr>
              <w:rPr>
                <w:rFonts w:hint="default" w:ascii="Times New Roman" w:hAnsi="Times New Roman" w:eastAsia="Yu Mincho" w:cs="Times New Roman"/>
                <w:b/>
                <w:sz w:val="20"/>
                <w:szCs w:val="20"/>
                <w:u w:val="single"/>
                <w:lang w:eastAsia="ja-JP"/>
              </w:rPr>
            </w:pPr>
            <w:r>
              <w:rPr>
                <w:rFonts w:hint="default" w:ascii="Times New Roman" w:hAnsi="Times New Roman" w:cs="Times New Roman"/>
                <w:b/>
                <w:sz w:val="20"/>
                <w:szCs w:val="20"/>
                <w:u w:val="single"/>
                <w:lang w:eastAsia="ko-KR"/>
              </w:rPr>
              <w:t xml:space="preserve">Issue </w:t>
            </w:r>
            <w:r>
              <w:rPr>
                <w:rFonts w:hint="default" w:ascii="Times New Roman" w:hAnsi="Times New Roman" w:eastAsia="Yu Mincho" w:cs="Times New Roman"/>
                <w:b/>
                <w:sz w:val="20"/>
                <w:szCs w:val="20"/>
                <w:u w:val="single"/>
                <w:lang w:eastAsia="ja-JP"/>
              </w:rPr>
              <w:t>1-3</w:t>
            </w:r>
            <w:r>
              <w:rPr>
                <w:rFonts w:hint="default" w:ascii="Times New Roman" w:hAnsi="Times New Roman" w:cs="Times New Roman"/>
                <w:b/>
                <w:sz w:val="20"/>
                <w:szCs w:val="20"/>
                <w:u w:val="single"/>
                <w:lang w:eastAsia="ko-KR"/>
              </w:rPr>
              <w:t>: Option 4</w:t>
            </w:r>
            <w:r>
              <w:rPr>
                <w:rFonts w:hint="default" w:ascii="Times New Roman" w:hAnsi="Times New Roman" w:eastAsia="Yu Mincho" w:cs="Times New Roman"/>
                <w:b/>
                <w:sz w:val="20"/>
                <w:szCs w:val="20"/>
                <w:u w:val="single"/>
                <w:lang w:eastAsia="ja-JP"/>
              </w:rPr>
              <w:t>a(Dataset based)</w:t>
            </w:r>
            <w:r>
              <w:rPr>
                <w:rFonts w:hint="default" w:ascii="Times New Roman" w:hAnsi="Times New Roman" w:cs="Times New Roman"/>
                <w:b/>
                <w:sz w:val="20"/>
                <w:szCs w:val="20"/>
                <w:u w:val="single"/>
                <w:lang w:eastAsia="ko-KR"/>
              </w:rPr>
              <w:t xml:space="preserve"> for 2-sided model</w:t>
            </w:r>
            <w:r>
              <w:rPr>
                <w:rFonts w:hint="default" w:ascii="Times New Roman" w:hAnsi="Times New Roman" w:eastAsia="Yu Mincho" w:cs="Times New Roman"/>
                <w:b/>
                <w:sz w:val="20"/>
                <w:szCs w:val="20"/>
                <w:u w:val="single"/>
                <w:lang w:eastAsia="ja-JP"/>
              </w:rPr>
              <w:t xml:space="preserve"> </w:t>
            </w:r>
          </w:p>
          <w:p w14:paraId="64DD9A33">
            <w:pPr>
              <w:pStyle w:val="10"/>
              <w:numPr>
                <w:ilvl w:val="2"/>
                <w:numId w:val="7"/>
              </w:numPr>
              <w:overflowPunct w:val="0"/>
              <w:autoSpaceDE w:val="0"/>
              <w:autoSpaceDN w:val="0"/>
              <w:adjustRightInd w:val="0"/>
              <w:spacing w:after="120"/>
              <w:ind w:left="426" w:hanging="426" w:firstLineChars="0"/>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Step 1-3: Reuse results of Option 3</w:t>
            </w:r>
          </w:p>
          <w:p w14:paraId="24718400">
            <w:pPr>
              <w:pStyle w:val="10"/>
              <w:numPr>
                <w:ilvl w:val="2"/>
                <w:numId w:val="7"/>
              </w:numPr>
              <w:overflowPunct w:val="0"/>
              <w:autoSpaceDE w:val="0"/>
              <w:autoSpaceDN w:val="0"/>
              <w:adjustRightInd w:val="0"/>
              <w:spacing w:after="120"/>
              <w:ind w:left="426" w:hanging="426" w:firstLineChars="0"/>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Step 4: Select one or more Eigenvalue dataset(s) for further analysis based option 3</w:t>
            </w:r>
          </w:p>
          <w:p w14:paraId="31E1B5F0">
            <w:pPr>
              <w:pStyle w:val="10"/>
              <w:numPr>
                <w:ilvl w:val="3"/>
                <w:numId w:val="7"/>
              </w:numPr>
              <w:overflowPunct w:val="0"/>
              <w:autoSpaceDE w:val="0"/>
              <w:autoSpaceDN w:val="0"/>
              <w:adjustRightInd w:val="0"/>
              <w:spacing w:after="120"/>
              <w:ind w:left="426" w:firstLine="141" w:firstLineChars="0"/>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Selection criteria: select the dataset(s) generated from the selected encoder and decoder pair(s) from Option 3 track 1</w:t>
            </w:r>
          </w:p>
          <w:p w14:paraId="3B0D8C08">
            <w:pPr>
              <w:pStyle w:val="10"/>
              <w:numPr>
                <w:ilvl w:val="3"/>
                <w:numId w:val="7"/>
              </w:numPr>
              <w:overflowPunct w:val="0"/>
              <w:autoSpaceDE w:val="0"/>
              <w:autoSpaceDN w:val="0"/>
              <w:adjustRightInd w:val="0"/>
              <w:spacing w:after="120"/>
              <w:ind w:left="426" w:firstLine="141" w:firstLineChars="0"/>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Or mixed dataset from track 2</w:t>
            </w:r>
          </w:p>
          <w:p w14:paraId="11C1F290">
            <w:pPr>
              <w:pStyle w:val="10"/>
              <w:numPr>
                <w:ilvl w:val="2"/>
                <w:numId w:val="7"/>
              </w:numPr>
              <w:overflowPunct w:val="0"/>
              <w:autoSpaceDE w:val="0"/>
              <w:autoSpaceDN w:val="0"/>
              <w:adjustRightInd w:val="0"/>
              <w:spacing w:after="120"/>
              <w:ind w:left="426" w:hanging="426" w:firstLineChars="0"/>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Step 5: Label selected dataset(s) (mapping of encoder input to latent message) [using encoder] corresponding to the selected test decoder(s) from option 3</w:t>
            </w:r>
          </w:p>
          <w:p w14:paraId="53F1992F">
            <w:pPr>
              <w:pStyle w:val="10"/>
              <w:numPr>
                <w:ilvl w:val="2"/>
                <w:numId w:val="7"/>
              </w:numPr>
              <w:overflowPunct w:val="0"/>
              <w:autoSpaceDE w:val="0"/>
              <w:autoSpaceDN w:val="0"/>
              <w:adjustRightInd w:val="0"/>
              <w:spacing w:after="120"/>
              <w:ind w:left="426" w:hanging="426" w:firstLineChars="0"/>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Step 6: Compan</w:t>
            </w:r>
            <w:r>
              <w:rPr>
                <w:rFonts w:hint="default" w:ascii="Times New Roman" w:hAnsi="Times New Roman" w:eastAsia="Yu Mincho" w:cs="Times New Roman"/>
                <w:sz w:val="20"/>
                <w:szCs w:val="20"/>
                <w:lang w:eastAsia="ja-JP"/>
              </w:rPr>
              <w:t>ies</w:t>
            </w:r>
            <w:r>
              <w:rPr>
                <w:rFonts w:hint="default" w:ascii="Times New Roman" w:hAnsi="Times New Roman" w:cs="Times New Roman"/>
                <w:sz w:val="20"/>
                <w:szCs w:val="20"/>
                <w:lang w:eastAsia="zh-CN"/>
              </w:rPr>
              <w:t xml:space="preserve"> bring results for training of “own encoder(s) and decoder(s)” with selected dataset(s)</w:t>
            </w:r>
          </w:p>
          <w:p w14:paraId="768E91E3">
            <w:pPr>
              <w:pStyle w:val="10"/>
              <w:numPr>
                <w:ilvl w:val="3"/>
                <w:numId w:val="7"/>
              </w:numPr>
              <w:overflowPunct w:val="0"/>
              <w:autoSpaceDE w:val="0"/>
              <w:autoSpaceDN w:val="0"/>
              <w:adjustRightInd w:val="0"/>
              <w:spacing w:after="120"/>
              <w:ind w:left="2268" w:hanging="283" w:firstLineChars="0"/>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Performance alignment to be checked/discussed</w:t>
            </w:r>
          </w:p>
          <w:p w14:paraId="567FAE4B">
            <w:pPr>
              <w:pStyle w:val="10"/>
              <w:numPr>
                <w:ilvl w:val="2"/>
                <w:numId w:val="7"/>
              </w:numPr>
              <w:overflowPunct w:val="0"/>
              <w:autoSpaceDE w:val="0"/>
              <w:autoSpaceDN w:val="0"/>
              <w:adjustRightInd w:val="0"/>
              <w:spacing w:after="120"/>
              <w:ind w:left="426" w:firstLineChars="0"/>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Step 7: Conclude on overall feasibility of Option 4a</w:t>
            </w:r>
          </w:p>
          <w:p w14:paraId="7B4E64C2">
            <w:pPr>
              <w:pStyle w:val="10"/>
              <w:numPr>
                <w:ilvl w:val="3"/>
                <w:numId w:val="7"/>
              </w:numPr>
              <w:spacing w:after="120"/>
              <w:ind w:left="2268" w:hanging="284" w:firstLineChars="0"/>
              <w:rPr>
                <w:rFonts w:hint="default" w:ascii="Times New Roman" w:hAnsi="Times New Roman" w:eastAsia="Yu Mincho" w:cs="Times New Roman"/>
                <w:sz w:val="20"/>
                <w:szCs w:val="20"/>
                <w:lang w:eastAsia="ja-JP"/>
              </w:rPr>
            </w:pPr>
            <w:r>
              <w:rPr>
                <w:rFonts w:hint="default" w:ascii="Times New Roman" w:hAnsi="Times New Roman" w:eastAsia="Yu Mincho" w:cs="Times New Roman"/>
                <w:sz w:val="20"/>
                <w:szCs w:val="20"/>
                <w:lang w:eastAsia="ja-JP"/>
              </w:rPr>
              <w:t>feasibility criteria to be discussed (e.g. Perform testing of all the UE encoders using all test decoders (replicating the process of testing UE’s against RAN4 requirements with different TE vendor decoders, others given in R4-2415376, etc ).</w:t>
            </w:r>
          </w:p>
          <w:p w14:paraId="7383EE7B">
            <w:pPr>
              <w:rPr>
                <w:rFonts w:hint="default" w:ascii="Times New Roman" w:hAnsi="Times New Roman" w:eastAsia="Yu Mincho" w:cs="Times New Roman"/>
                <w:sz w:val="20"/>
                <w:szCs w:val="20"/>
                <w:lang w:eastAsia="ja-JP"/>
              </w:rPr>
            </w:pPr>
            <w:r>
              <w:rPr>
                <w:rFonts w:hint="default" w:ascii="Times New Roman" w:hAnsi="Times New Roman" w:eastAsia="Yu Mincho" w:cs="Times New Roman"/>
                <w:sz w:val="20"/>
                <w:szCs w:val="20"/>
                <w:lang w:eastAsia="ja-JP"/>
              </w:rPr>
              <w:t>Encoder in step 5 should at least have the agreed structure. Companies can also bring analysis/results with other encoders(using different structures)</w:t>
            </w:r>
          </w:p>
          <w:p w14:paraId="36F52C01">
            <w:pPr>
              <w:spacing w:after="120"/>
              <w:rPr>
                <w:rFonts w:hint="default" w:ascii="Times New Roman" w:hAnsi="Times New Roman" w:eastAsia="Yu Mincho" w:cs="Times New Roman"/>
                <w:sz w:val="20"/>
                <w:szCs w:val="20"/>
                <w:lang w:eastAsia="ja-JP"/>
              </w:rPr>
            </w:pPr>
            <w:r>
              <w:rPr>
                <w:rFonts w:hint="default" w:ascii="Times New Roman" w:hAnsi="Times New Roman" w:eastAsia="Yu Mincho" w:cs="Times New Roman"/>
                <w:sz w:val="20"/>
                <w:szCs w:val="20"/>
                <w:lang w:eastAsia="ja-JP"/>
              </w:rPr>
              <w:t>Selected test decoder and matching encoder pair from Option 3 can be used to generate the common dataset (that includes latent messages) based on aggregated/mixed dataset</w:t>
            </w:r>
          </w:p>
          <w:p w14:paraId="77C55B1F">
            <w:pPr>
              <w:rPr>
                <w:rFonts w:hint="default" w:ascii="Times New Roman" w:hAnsi="Times New Roman" w:eastAsia="Yu Mincho" w:cs="Times New Roman"/>
                <w:sz w:val="20"/>
                <w:szCs w:val="20"/>
                <w:lang w:val="en-US" w:eastAsia="ja-JP"/>
              </w:rPr>
            </w:pPr>
          </w:p>
          <w:p w14:paraId="57505D11">
            <w:pPr>
              <w:rPr>
                <w:rFonts w:hint="default" w:ascii="Times New Roman" w:hAnsi="Times New Roman" w:eastAsia="Yu Mincho" w:cs="Times New Roman"/>
                <w:b/>
                <w:sz w:val="20"/>
                <w:szCs w:val="20"/>
                <w:u w:val="single"/>
                <w:lang w:eastAsia="ja-JP"/>
              </w:rPr>
            </w:pPr>
            <w:r>
              <w:rPr>
                <w:rFonts w:hint="default" w:ascii="Times New Roman" w:hAnsi="Times New Roman" w:cs="Times New Roman"/>
                <w:b/>
                <w:sz w:val="20"/>
                <w:szCs w:val="20"/>
                <w:u w:val="single"/>
                <w:lang w:eastAsia="ko-KR"/>
              </w:rPr>
              <w:t xml:space="preserve">Issue </w:t>
            </w:r>
            <w:r>
              <w:rPr>
                <w:rFonts w:hint="default" w:ascii="Times New Roman" w:hAnsi="Times New Roman" w:eastAsia="Yu Mincho" w:cs="Times New Roman"/>
                <w:b/>
                <w:sz w:val="20"/>
                <w:szCs w:val="20"/>
                <w:u w:val="single"/>
                <w:lang w:eastAsia="ja-JP"/>
              </w:rPr>
              <w:t>1-4</w:t>
            </w:r>
            <w:r>
              <w:rPr>
                <w:rFonts w:hint="default" w:ascii="Times New Roman" w:hAnsi="Times New Roman" w:cs="Times New Roman"/>
                <w:b/>
                <w:sz w:val="20"/>
                <w:szCs w:val="20"/>
                <w:u w:val="single"/>
                <w:lang w:eastAsia="ko-KR"/>
              </w:rPr>
              <w:t>: Option 4</w:t>
            </w:r>
            <w:r>
              <w:rPr>
                <w:rFonts w:hint="default" w:ascii="Times New Roman" w:hAnsi="Times New Roman" w:eastAsia="Yu Mincho" w:cs="Times New Roman"/>
                <w:b/>
                <w:sz w:val="20"/>
                <w:szCs w:val="20"/>
                <w:u w:val="single"/>
                <w:lang w:eastAsia="ja-JP"/>
              </w:rPr>
              <w:t>b (encoder based)</w:t>
            </w:r>
            <w:r>
              <w:rPr>
                <w:rFonts w:hint="default" w:ascii="Times New Roman" w:hAnsi="Times New Roman" w:cs="Times New Roman"/>
                <w:b/>
                <w:sz w:val="20"/>
                <w:szCs w:val="20"/>
                <w:u w:val="single"/>
                <w:lang w:eastAsia="ko-KR"/>
              </w:rPr>
              <w:t xml:space="preserve"> for 2-sided model</w:t>
            </w:r>
            <w:r>
              <w:rPr>
                <w:rFonts w:hint="default" w:ascii="Times New Roman" w:hAnsi="Times New Roman" w:eastAsia="Yu Mincho" w:cs="Times New Roman"/>
                <w:b/>
                <w:sz w:val="20"/>
                <w:szCs w:val="20"/>
                <w:u w:val="single"/>
                <w:lang w:eastAsia="ja-JP"/>
              </w:rPr>
              <w:t xml:space="preserve"> </w:t>
            </w:r>
          </w:p>
          <w:p w14:paraId="7238EF7B">
            <w:pPr>
              <w:pStyle w:val="10"/>
              <w:numPr>
                <w:ilvl w:val="0"/>
                <w:numId w:val="7"/>
              </w:numPr>
              <w:overflowPunct w:val="0"/>
              <w:autoSpaceDE w:val="0"/>
              <w:autoSpaceDN w:val="0"/>
              <w:adjustRightInd w:val="0"/>
              <w:spacing w:after="120"/>
              <w:ind w:firstLineChars="0"/>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Step 1-3: Reuse results of Option 3</w:t>
            </w:r>
          </w:p>
          <w:p w14:paraId="0D484363">
            <w:pPr>
              <w:pStyle w:val="10"/>
              <w:numPr>
                <w:ilvl w:val="0"/>
                <w:numId w:val="7"/>
              </w:numPr>
              <w:overflowPunct w:val="0"/>
              <w:autoSpaceDE w:val="0"/>
              <w:autoSpaceDN w:val="0"/>
              <w:adjustRightInd w:val="0"/>
              <w:spacing w:after="120"/>
              <w:ind w:firstLineChars="0"/>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Step 4: Select one or more encoder(s) for further analysis based on option 3</w:t>
            </w:r>
          </w:p>
          <w:p w14:paraId="15A16379">
            <w:pPr>
              <w:pStyle w:val="10"/>
              <w:numPr>
                <w:ilvl w:val="1"/>
                <w:numId w:val="7"/>
              </w:numPr>
              <w:overflowPunct w:val="0"/>
              <w:autoSpaceDE w:val="0"/>
              <w:autoSpaceDN w:val="0"/>
              <w:adjustRightInd w:val="0"/>
              <w:spacing w:after="120"/>
              <w:ind w:firstLineChars="0"/>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Selection criteria: select the encoder(s) from the selected encoder and decoder pair(s) of Option 3 track 1</w:t>
            </w:r>
          </w:p>
          <w:p w14:paraId="284DF0A0">
            <w:pPr>
              <w:pStyle w:val="10"/>
              <w:numPr>
                <w:ilvl w:val="1"/>
                <w:numId w:val="7"/>
              </w:numPr>
              <w:overflowPunct w:val="0"/>
              <w:autoSpaceDE w:val="0"/>
              <w:autoSpaceDN w:val="0"/>
              <w:adjustRightInd w:val="0"/>
              <w:spacing w:after="120"/>
              <w:ind w:firstLineChars="0"/>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Or encoder(s) from the selected encoder and decoder pair(s) of Option 3 track 2</w:t>
            </w:r>
          </w:p>
          <w:p w14:paraId="511504CA">
            <w:pPr>
              <w:pStyle w:val="10"/>
              <w:numPr>
                <w:ilvl w:val="0"/>
                <w:numId w:val="7"/>
              </w:numPr>
              <w:overflowPunct w:val="0"/>
              <w:autoSpaceDE w:val="0"/>
              <w:autoSpaceDN w:val="0"/>
              <w:adjustRightInd w:val="0"/>
              <w:spacing w:after="120"/>
              <w:ind w:firstLineChars="0"/>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Step 5: Company brings results for training of “own decoder(s)” with selected encoder(s)</w:t>
            </w:r>
          </w:p>
          <w:p w14:paraId="2E658AFB">
            <w:pPr>
              <w:pStyle w:val="10"/>
              <w:numPr>
                <w:ilvl w:val="1"/>
                <w:numId w:val="7"/>
              </w:numPr>
              <w:overflowPunct w:val="0"/>
              <w:autoSpaceDE w:val="0"/>
              <w:autoSpaceDN w:val="0"/>
              <w:adjustRightInd w:val="0"/>
              <w:spacing w:after="120"/>
              <w:ind w:firstLineChars="0"/>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Performance alignment to be checked/discussed</w:t>
            </w:r>
          </w:p>
          <w:p w14:paraId="0891919C">
            <w:pPr>
              <w:pStyle w:val="10"/>
              <w:numPr>
                <w:ilvl w:val="0"/>
                <w:numId w:val="7"/>
              </w:numPr>
              <w:overflowPunct w:val="0"/>
              <w:autoSpaceDE w:val="0"/>
              <w:autoSpaceDN w:val="0"/>
              <w:adjustRightInd w:val="0"/>
              <w:spacing w:after="120"/>
              <w:ind w:firstLineChars="0"/>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Step 6: Conclude on overall feasibility of Option 4b</w:t>
            </w:r>
          </w:p>
          <w:p w14:paraId="538BB9A7">
            <w:pPr>
              <w:pStyle w:val="10"/>
              <w:numPr>
                <w:ilvl w:val="1"/>
                <w:numId w:val="7"/>
              </w:numPr>
              <w:overflowPunct w:val="0"/>
              <w:autoSpaceDE w:val="0"/>
              <w:autoSpaceDN w:val="0"/>
              <w:adjustRightInd w:val="0"/>
              <w:spacing w:after="120"/>
              <w:ind w:firstLineChars="0"/>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Feasibility criteria to be discussed (e.g. Perform testing of all the UE encoders using all test decoders (replicating the process of testing UE’s against RAN4 requirements with different TE vendor decoders, others given in R4-2415376, etc ).</w:t>
            </w:r>
          </w:p>
          <w:p w14:paraId="49C941CF">
            <w:pPr>
              <w:rPr>
                <w:rFonts w:hint="default" w:ascii="Times New Roman" w:hAnsi="Times New Roman" w:eastAsia="等线" w:cs="Times New Roman"/>
                <w:bCs/>
                <w:iCs/>
                <w:color w:val="auto"/>
                <w:sz w:val="20"/>
                <w:szCs w:val="20"/>
                <w:vertAlign w:val="baseline"/>
                <w:lang w:val="en-US" w:eastAsia="zh-CN"/>
              </w:rPr>
            </w:pPr>
            <w:r>
              <w:rPr>
                <w:rFonts w:hint="default" w:ascii="Times New Roman" w:hAnsi="Times New Roman" w:eastAsia="Yu Mincho" w:cs="Times New Roman"/>
                <w:sz w:val="20"/>
                <w:szCs w:val="20"/>
                <w:lang w:eastAsia="ja-JP"/>
              </w:rPr>
              <w:t>Encoder in step 5 should at least have the agreed structure. Companies can also bring analysis/results with other encoders (using different structures)</w:t>
            </w:r>
          </w:p>
        </w:tc>
      </w:tr>
    </w:tbl>
    <w:p w14:paraId="284EF80E">
      <w:pPr>
        <w:spacing w:after="180" w:line="240" w:lineRule="exact"/>
        <w:rPr>
          <w:rFonts w:hint="eastAsia" w:ascii="Times New Roman" w:hAnsi="Times New Roman" w:eastAsia="等线"/>
          <w:bCs/>
          <w:iCs/>
          <w:sz w:val="20"/>
          <w:szCs w:val="20"/>
          <w:lang w:val="en-US" w:eastAsia="zh-CN"/>
        </w:rPr>
      </w:pPr>
    </w:p>
    <w:p w14:paraId="570E1DE9">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Option 3 is to standarize test decoder. Instead of specification of decoder, option 4 is to standarize sufficient information so that TE vendor can develop a test decoder. In detail, there are 3 sub-options:</w:t>
      </w:r>
    </w:p>
    <w:p w14:paraId="190C3348">
      <w:pPr>
        <w:numPr>
          <w:ilvl w:val="0"/>
          <w:numId w:val="8"/>
        </w:numPr>
        <w:spacing w:before="120" w:beforeLines="50" w:after="120"/>
        <w:ind w:left="420" w:leftChars="0" w:hanging="420" w:firstLineChars="0"/>
        <w:rPr>
          <w:rFonts w:hint="default" w:ascii="Times New Roman" w:hAnsi="Times New Roman" w:eastAsia="游明朝" w:cs="Times New Roman"/>
          <w:iCs/>
          <w:sz w:val="20"/>
          <w:szCs w:val="20"/>
          <w:lang w:eastAsia="ja-JP"/>
        </w:rPr>
      </w:pPr>
      <w:r>
        <w:rPr>
          <w:rFonts w:hint="eastAsia" w:ascii="Times New Roman" w:hAnsi="Times New Roman" w:eastAsia="游明朝" w:cs="Times New Roman"/>
          <w:iCs/>
          <w:sz w:val="20"/>
          <w:szCs w:val="20"/>
          <w:lang w:val="en-US" w:eastAsia="zh-CN"/>
        </w:rPr>
        <w:t xml:space="preserve">Option </w:t>
      </w:r>
      <w:r>
        <w:rPr>
          <w:rFonts w:hint="default" w:ascii="Times New Roman" w:hAnsi="Times New Roman" w:eastAsia="游明朝" w:cs="Times New Roman"/>
          <w:iCs/>
          <w:sz w:val="20"/>
          <w:szCs w:val="20"/>
          <w:lang w:eastAsia="ja-JP"/>
        </w:rPr>
        <w:t>4a: Dataset based: specify at least dataset based on which the test decoder can be implemented by TE vendors</w:t>
      </w:r>
    </w:p>
    <w:p w14:paraId="506335AD">
      <w:pPr>
        <w:numPr>
          <w:ilvl w:val="0"/>
          <w:numId w:val="8"/>
        </w:numPr>
        <w:spacing w:before="120" w:beforeLines="50" w:after="120"/>
        <w:ind w:left="420" w:leftChars="0" w:hanging="420" w:firstLineChars="0"/>
        <w:rPr>
          <w:rFonts w:hint="default" w:ascii="Times New Roman" w:hAnsi="Times New Roman" w:eastAsia="游明朝" w:cs="Times New Roman"/>
          <w:iCs/>
          <w:sz w:val="20"/>
          <w:szCs w:val="20"/>
          <w:lang w:eastAsia="ja-JP"/>
        </w:rPr>
      </w:pPr>
      <w:r>
        <w:rPr>
          <w:rFonts w:hint="eastAsia" w:ascii="Times New Roman" w:hAnsi="Times New Roman" w:eastAsia="游明朝" w:cs="Times New Roman"/>
          <w:iCs/>
          <w:sz w:val="20"/>
          <w:szCs w:val="20"/>
          <w:lang w:val="en-US" w:eastAsia="zh-CN"/>
        </w:rPr>
        <w:t xml:space="preserve">Option </w:t>
      </w:r>
      <w:r>
        <w:rPr>
          <w:rFonts w:hint="default" w:ascii="Times New Roman" w:hAnsi="Times New Roman" w:eastAsia="游明朝" w:cs="Times New Roman"/>
          <w:iCs/>
          <w:sz w:val="20"/>
          <w:szCs w:val="20"/>
          <w:lang w:eastAsia="ja-JP"/>
        </w:rPr>
        <w:t xml:space="preserve">4b: Reference encoder based: encoder is documented in the specifications, used to derive a decoder to be implemented by TE vendors </w:t>
      </w:r>
    </w:p>
    <w:p w14:paraId="59840920">
      <w:pPr>
        <w:numPr>
          <w:ilvl w:val="0"/>
          <w:numId w:val="8"/>
        </w:numPr>
        <w:spacing w:after="180" w:line="240" w:lineRule="exact"/>
        <w:ind w:left="420" w:leftChars="0" w:hanging="420" w:firstLineChars="0"/>
        <w:rPr>
          <w:rFonts w:hint="default" w:ascii="Times New Roman" w:hAnsi="Times New Roman" w:eastAsia="等线" w:cs="Times New Roman"/>
          <w:bCs/>
          <w:iCs/>
          <w:sz w:val="20"/>
          <w:szCs w:val="20"/>
          <w:lang w:val="en-US" w:eastAsia="zh-CN"/>
        </w:rPr>
      </w:pPr>
      <w:r>
        <w:rPr>
          <w:rFonts w:hint="eastAsia" w:ascii="Times New Roman" w:hAnsi="Times New Roman" w:eastAsia="游明朝" w:cs="Times New Roman"/>
          <w:iCs/>
          <w:sz w:val="20"/>
          <w:szCs w:val="20"/>
          <w:lang w:val="en-US" w:eastAsia="zh-CN"/>
        </w:rPr>
        <w:t xml:space="preserve">Option </w:t>
      </w:r>
      <w:r>
        <w:rPr>
          <w:rFonts w:hint="default" w:ascii="Times New Roman" w:hAnsi="Times New Roman" w:eastAsia="游明朝" w:cs="Times New Roman"/>
          <w:iCs/>
          <w:sz w:val="20"/>
          <w:szCs w:val="20"/>
          <w:lang w:eastAsia="ja-JP"/>
        </w:rPr>
        <w:t>4c: do not specify either reference encoder or dataset. specify enough constraints on the decoder output ordering</w:t>
      </w:r>
      <w:r>
        <w:rPr>
          <w:rFonts w:hint="default" w:ascii="Times New Roman" w:hAnsi="Times New Roman" w:eastAsia="等线" w:cs="Times New Roman"/>
          <w:bCs/>
          <w:iCs/>
          <w:sz w:val="20"/>
          <w:szCs w:val="20"/>
          <w:lang w:val="en-US" w:eastAsia="zh-CN"/>
        </w:rPr>
        <w:t xml:space="preserve">  </w:t>
      </w:r>
    </w:p>
    <w:p w14:paraId="10764FBD">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The motivation of this test feasibility study for two-sided mode is to reduce the impact due to TE implemeting the test decoder so that TE could provide alligned results and the tests are repeatable.</w:t>
      </w:r>
    </w:p>
    <w:p w14:paraId="294D435D">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For option 4a, if only dataset is specified, it is questionable above motivation can be achived, since decoder implement by TE vendor and encoder implemented by UE vendor may be based on different backbone. </w:t>
      </w:r>
    </w:p>
    <w:p w14:paraId="77C021AE">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For option 4b, encoder is documented in the specification. Compared with option 3 with documenting doceder, there is not too much difference.</w:t>
      </w:r>
    </w:p>
    <w:p w14:paraId="4D1D0F56">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Option 4c, in our view, is a sub-set of option 3, which means option 3 discussion can be reused for option4.   </w:t>
      </w:r>
    </w:p>
    <w:p w14:paraId="31CAD139">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What</w:t>
      </w:r>
      <w:r>
        <w:rPr>
          <w:rFonts w:hint="default" w:ascii="Times New Roman" w:hAnsi="Times New Roman" w:eastAsia="等线"/>
          <w:bCs/>
          <w:iCs/>
          <w:sz w:val="20"/>
          <w:szCs w:val="20"/>
          <w:lang w:val="en-US" w:eastAsia="zh-CN"/>
        </w:rPr>
        <w:t>’</w:t>
      </w:r>
      <w:r>
        <w:rPr>
          <w:rFonts w:hint="eastAsia" w:ascii="Times New Roman" w:hAnsi="Times New Roman" w:eastAsia="等线"/>
          <w:bCs/>
          <w:iCs/>
          <w:sz w:val="20"/>
          <w:szCs w:val="20"/>
          <w:lang w:val="en-US" w:eastAsia="zh-CN"/>
        </w:rPr>
        <w:t xml:space="preserve">s more, it is also proposed to document reference encoder and/or training dataset for Option 3 for the purpose of performance verification or TE test decoder verification. From this point of view, we do not see the ncessity to consider option 4 if option 3 is confirmed feasible. </w:t>
      </w:r>
    </w:p>
    <w:p w14:paraId="6C033038">
      <w:pPr>
        <w:spacing w:after="180" w:line="240" w:lineRule="exact"/>
        <w:rPr>
          <w:rFonts w:ascii="Times New Roman" w:hAnsi="Times New Roman" w:eastAsia="Yu Mincho"/>
          <w:b/>
          <w:bCs/>
          <w:i/>
          <w:iCs/>
          <w:sz w:val="20"/>
          <w:szCs w:val="20"/>
          <w:lang w:eastAsia="ja-JP"/>
        </w:rPr>
      </w:pPr>
      <w:r>
        <w:rPr>
          <w:rFonts w:hint="eastAsia" w:ascii="Times New Roman" w:hAnsi="Times New Roman" w:eastAsia="宋体" w:cs="Times New Roman"/>
          <w:b/>
          <w:bCs/>
          <w:i/>
          <w:iCs w:val="0"/>
          <w:sz w:val="20"/>
          <w:szCs w:val="20"/>
          <w:lang w:val="en-US" w:eastAsia="zh-CN"/>
        </w:rPr>
        <w:t xml:space="preserve">Proposal </w:t>
      </w:r>
      <w:r>
        <w:rPr>
          <w:rFonts w:hint="eastAsia" w:ascii="Times New Roman" w:hAnsi="Times New Roman" w:cs="Times New Roman"/>
          <w:b/>
          <w:bCs/>
          <w:i/>
          <w:iCs w:val="0"/>
          <w:sz w:val="20"/>
          <w:szCs w:val="20"/>
          <w:lang w:val="en-US" w:eastAsia="zh-CN"/>
        </w:rPr>
        <w:t>2</w:t>
      </w:r>
      <w:r>
        <w:rPr>
          <w:rFonts w:hint="eastAsia" w:ascii="Times New Roman" w:hAnsi="Times New Roman" w:eastAsia="宋体" w:cs="Times New Roman"/>
          <w:b/>
          <w:bCs/>
          <w:i/>
          <w:iCs w:val="0"/>
          <w:sz w:val="20"/>
          <w:szCs w:val="20"/>
          <w:lang w:val="en-US" w:eastAsia="zh-CN"/>
        </w:rPr>
        <w:t xml:space="preserve">: </w:t>
      </w:r>
      <w:r>
        <w:rPr>
          <w:rFonts w:hint="eastAsia" w:ascii="Times New Roman" w:hAnsi="Times New Roman" w:cs="Times New Roman"/>
          <w:b/>
          <w:bCs/>
          <w:i/>
          <w:iCs w:val="0"/>
          <w:sz w:val="20"/>
          <w:szCs w:val="20"/>
          <w:lang w:val="en-US" w:eastAsia="zh-CN"/>
        </w:rPr>
        <w:t>it is proposed to discuss if option 3 is feasible, whether option 4 is still needed</w:t>
      </w:r>
      <w:r>
        <w:rPr>
          <w:rFonts w:ascii="Times New Roman" w:hAnsi="Times New Roman" w:eastAsia="Yu Mincho"/>
          <w:b/>
          <w:bCs/>
          <w:i/>
          <w:iCs/>
          <w:sz w:val="20"/>
          <w:szCs w:val="20"/>
          <w:lang w:eastAsia="ja-JP"/>
        </w:rPr>
        <w:t>.</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6A395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10C8AE22">
            <w:pPr>
              <w:spacing w:after="120"/>
              <w:rPr>
                <w:rFonts w:hint="eastAsia" w:ascii="Times New Roman" w:hAnsi="Times New Roman" w:eastAsia="宋体" w:cs="Times New Roman"/>
                <w:b/>
                <w:bCs/>
                <w:sz w:val="20"/>
                <w:szCs w:val="20"/>
                <w:lang w:val="en-US" w:eastAsia="zh-CN"/>
              </w:rPr>
            </w:pPr>
            <w:r>
              <w:rPr>
                <w:rFonts w:hint="default" w:ascii="Times New Roman" w:hAnsi="Times New Roman" w:eastAsia="游明朝" w:cs="Times New Roman"/>
                <w:b/>
                <w:bCs/>
                <w:sz w:val="20"/>
                <w:szCs w:val="20"/>
                <w:lang w:eastAsia="ja-JP"/>
              </w:rPr>
              <w:t>Agreement</w:t>
            </w:r>
            <w:r>
              <w:rPr>
                <w:rFonts w:hint="eastAsia" w:ascii="Times New Roman" w:hAnsi="Times New Roman" w:cs="Times New Roman"/>
                <w:b/>
                <w:bCs/>
                <w:sz w:val="20"/>
                <w:szCs w:val="20"/>
                <w:lang w:val="en-US" w:eastAsia="zh-CN"/>
              </w:rPr>
              <w:t xml:space="preserve"> on </w:t>
            </w:r>
            <w:r>
              <w:rPr>
                <w:rFonts w:hint="default" w:ascii="Times New Roman" w:hAnsi="Times New Roman" w:eastAsia="游明朝" w:cs="Times New Roman"/>
                <w:b/>
                <w:bCs/>
                <w:sz w:val="20"/>
                <w:szCs w:val="20"/>
                <w:lang w:eastAsia="ja-JP"/>
              </w:rPr>
              <w:t>Dataset format</w:t>
            </w:r>
            <w:r>
              <w:rPr>
                <w:rFonts w:hint="eastAsia" w:ascii="Times New Roman" w:hAnsi="Times New Roman" w:cs="Times New Roman"/>
                <w:b/>
                <w:bCs/>
                <w:sz w:val="20"/>
                <w:szCs w:val="20"/>
                <w:lang w:val="en-US" w:eastAsia="zh-CN"/>
              </w:rPr>
              <w:t>:</w:t>
            </w:r>
          </w:p>
          <w:p w14:paraId="338019BE">
            <w:pPr>
              <w:spacing w:after="120"/>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Use NumPy for dataset sharing</w:t>
            </w:r>
          </w:p>
          <w:p w14:paraId="653AA66D">
            <w:pPr>
              <w:spacing w:after="120"/>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Do not use pickled data(compression mechanism)</w:t>
            </w:r>
          </w:p>
          <w:p w14:paraId="421CD143">
            <w:pPr>
              <w:spacing w:after="120"/>
              <w:rPr>
                <w:rFonts w:hint="default" w:ascii="Times New Roman" w:hAnsi="Times New Roman" w:cs="Times New Roman"/>
                <w:sz w:val="20"/>
                <w:szCs w:val="20"/>
                <w:lang w:eastAsia="ja-JP"/>
              </w:rPr>
            </w:pPr>
            <w:r>
              <w:rPr>
                <w:rFonts w:hint="default" w:ascii="Times New Roman" w:hAnsi="Times New Roman" w:eastAsia="游明朝" w:cs="Times New Roman"/>
                <w:sz w:val="20"/>
                <w:szCs w:val="20"/>
                <w:lang w:eastAsia="ja-JP"/>
              </w:rPr>
              <w:t>Use npy – single array in each file</w:t>
            </w:r>
          </w:p>
          <w:p w14:paraId="4ECDE27D">
            <w:pPr>
              <w:spacing w:after="120"/>
              <w:rPr>
                <w:rFonts w:hint="default" w:ascii="Times New Roman" w:hAnsi="Times New Roman" w:eastAsia="游明朝" w:cs="Times New Roman"/>
                <w:sz w:val="20"/>
                <w:szCs w:val="20"/>
                <w:lang w:eastAsia="ja-JP"/>
              </w:rPr>
            </w:pPr>
          </w:p>
          <w:p w14:paraId="0DF8A11F">
            <w:pPr>
              <w:spacing w:after="120"/>
              <w:rPr>
                <w:rFonts w:hint="default" w:ascii="Times New Roman" w:hAnsi="Times New Roman" w:eastAsia="游明朝" w:cs="Times New Roman"/>
                <w:sz w:val="20"/>
                <w:szCs w:val="20"/>
                <w:lang w:eastAsia="ja-JP"/>
              </w:rPr>
            </w:pPr>
            <w:r>
              <w:rPr>
                <w:rFonts w:hint="default" w:ascii="Times New Roman" w:hAnsi="Times New Roman" w:eastAsia="游明朝" w:cs="Times New Roman"/>
                <w:b/>
                <w:bCs/>
                <w:sz w:val="20"/>
                <w:szCs w:val="20"/>
                <w:lang w:eastAsia="ja-JP"/>
              </w:rPr>
              <w:t>Agreement</w:t>
            </w:r>
            <w:r>
              <w:rPr>
                <w:rFonts w:hint="eastAsia" w:ascii="Times New Roman" w:hAnsi="Times New Roman" w:cs="Times New Roman"/>
                <w:b/>
                <w:bCs/>
                <w:sz w:val="20"/>
                <w:szCs w:val="20"/>
                <w:lang w:val="en-US" w:eastAsia="zh-CN"/>
              </w:rPr>
              <w:t xml:space="preserve"> on </w:t>
            </w:r>
            <w:r>
              <w:rPr>
                <w:rFonts w:hint="default" w:ascii="Times New Roman" w:hAnsi="Times New Roman" w:eastAsia="游明朝" w:cs="Times New Roman"/>
                <w:b/>
                <w:bCs/>
                <w:sz w:val="20"/>
                <w:szCs w:val="20"/>
                <w:lang w:eastAsia="ja-JP"/>
              </w:rPr>
              <w:t>Training Data file format:</w:t>
            </w:r>
          </w:p>
          <w:p w14:paraId="0762A8B7">
            <w:pPr>
              <w:spacing w:after="120"/>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Dataset/model input file format:</w:t>
            </w:r>
          </w:p>
          <w:p w14:paraId="1CFB292A">
            <w:pPr>
              <w:pStyle w:val="10"/>
              <w:numPr>
                <w:ilvl w:val="0"/>
                <w:numId w:val="7"/>
              </w:numPr>
              <w:spacing w:after="120"/>
              <w:ind w:left="289" w:leftChars="0"/>
              <w:contextualSpacing w:val="0"/>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N (samples) X 2 (IQ) X nSB (number of subbands) X nPorts (number of CSI-RS ports) X nLayers (number of layers)</w:t>
            </w:r>
          </w:p>
          <w:p w14:paraId="6A66EE85">
            <w:pPr>
              <w:pStyle w:val="10"/>
              <w:numPr>
                <w:ilvl w:val="2"/>
                <w:numId w:val="7"/>
              </w:numPr>
              <w:spacing w:after="120"/>
              <w:ind w:left="856" w:leftChars="0"/>
              <w:contextualSpacing w:val="0"/>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In other words, dataset should content following info:</w:t>
            </w:r>
          </w:p>
          <w:p w14:paraId="1CE721DF">
            <w:pPr>
              <w:pStyle w:val="10"/>
              <w:numPr>
                <w:ilvl w:val="2"/>
                <w:numId w:val="7"/>
              </w:numPr>
              <w:spacing w:after="120"/>
              <w:ind w:left="856" w:leftChars="0"/>
              <w:contextualSpacing w:val="0"/>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1st dimension: Number of samples</w:t>
            </w:r>
          </w:p>
          <w:p w14:paraId="26C88307">
            <w:pPr>
              <w:pStyle w:val="10"/>
              <w:numPr>
                <w:ilvl w:val="2"/>
                <w:numId w:val="7"/>
              </w:numPr>
              <w:spacing w:after="120"/>
              <w:ind w:left="856" w:leftChars="0"/>
              <w:contextualSpacing w:val="0"/>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2nd dimension: Real and imaginary</w:t>
            </w:r>
          </w:p>
          <w:p w14:paraId="739EB7BC">
            <w:pPr>
              <w:pStyle w:val="10"/>
              <w:numPr>
                <w:ilvl w:val="2"/>
                <w:numId w:val="7"/>
              </w:numPr>
              <w:spacing w:after="120"/>
              <w:ind w:left="856" w:leftChars="0"/>
              <w:contextualSpacing w:val="0"/>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3</w:t>
            </w:r>
            <w:r>
              <w:rPr>
                <w:rFonts w:hint="default" w:ascii="Times New Roman" w:hAnsi="Times New Roman" w:eastAsia="游明朝" w:cs="Times New Roman"/>
                <w:sz w:val="20"/>
                <w:szCs w:val="20"/>
                <w:vertAlign w:val="superscript"/>
                <w:lang w:eastAsia="ja-JP"/>
              </w:rPr>
              <w:t>rd</w:t>
            </w:r>
            <w:r>
              <w:rPr>
                <w:rFonts w:hint="default" w:ascii="Times New Roman" w:hAnsi="Times New Roman" w:eastAsia="游明朝" w:cs="Times New Roman"/>
                <w:sz w:val="20"/>
                <w:szCs w:val="20"/>
                <w:lang w:eastAsia="ja-JP"/>
              </w:rPr>
              <w:t xml:space="preserve"> dimension: Number of sub-bands</w:t>
            </w:r>
          </w:p>
          <w:p w14:paraId="13EE0452">
            <w:pPr>
              <w:pStyle w:val="10"/>
              <w:numPr>
                <w:ilvl w:val="2"/>
                <w:numId w:val="7"/>
              </w:numPr>
              <w:spacing w:after="120"/>
              <w:ind w:left="856" w:leftChars="0"/>
              <w:contextualSpacing w:val="0"/>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4</w:t>
            </w:r>
            <w:r>
              <w:rPr>
                <w:rFonts w:hint="default" w:ascii="Times New Roman" w:hAnsi="Times New Roman" w:eastAsia="游明朝" w:cs="Times New Roman"/>
                <w:sz w:val="20"/>
                <w:szCs w:val="20"/>
                <w:vertAlign w:val="superscript"/>
                <w:lang w:eastAsia="ja-JP"/>
              </w:rPr>
              <w:t>th</w:t>
            </w:r>
            <w:r>
              <w:rPr>
                <w:rFonts w:hint="default" w:ascii="Times New Roman" w:hAnsi="Times New Roman" w:eastAsia="游明朝" w:cs="Times New Roman"/>
                <w:sz w:val="20"/>
                <w:szCs w:val="20"/>
                <w:lang w:eastAsia="ja-JP"/>
              </w:rPr>
              <w:t xml:space="preserve"> dimension: Number of antenna ports</w:t>
            </w:r>
          </w:p>
          <w:p w14:paraId="2D287C95">
            <w:pPr>
              <w:pStyle w:val="10"/>
              <w:numPr>
                <w:ilvl w:val="2"/>
                <w:numId w:val="7"/>
              </w:numPr>
              <w:spacing w:after="120"/>
              <w:ind w:left="856" w:leftChars="0"/>
              <w:contextualSpacing w:val="0"/>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5th dimension: Number of layers – present only if &gt;1 layer</w:t>
            </w:r>
          </w:p>
          <w:p w14:paraId="05401BDA">
            <w:pPr>
              <w:pStyle w:val="10"/>
              <w:numPr>
                <w:ilvl w:val="2"/>
                <w:numId w:val="7"/>
              </w:numPr>
              <w:spacing w:after="120"/>
              <w:ind w:left="856" w:leftChars="0"/>
              <w:contextualSpacing w:val="0"/>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Note: Each element of the dataset will be a float32 real number</w:t>
            </w:r>
          </w:p>
          <w:p w14:paraId="3B38532B">
            <w:pPr>
              <w:spacing w:after="120"/>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The dataset includes eigenvectors calculated based on average covariance channel matrix for the given MIMO layer for each sub-band based on pre-processing assumptions in WF R4-2414447</w:t>
            </w:r>
          </w:p>
          <w:p w14:paraId="51161B47">
            <w:pPr>
              <w:spacing w:after="120"/>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 xml:space="preserve">Single file for fixed scalar quantization(only dataset), TBD whether additional file is needed for variable/trainable quantization </w:t>
            </w:r>
          </w:p>
          <w:p w14:paraId="558D273E">
            <w:pPr>
              <w:spacing w:after="120"/>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 xml:space="preserve">Dataset files can be split into multiple files to enable easier upload. </w:t>
            </w:r>
          </w:p>
          <w:p w14:paraId="1677FAEA">
            <w:pPr>
              <w:pStyle w:val="10"/>
              <w:numPr>
                <w:ilvl w:val="0"/>
                <w:numId w:val="9"/>
              </w:numPr>
              <w:spacing w:after="120"/>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Use the 2 digits for split files starting from 00, increment for each additional file</w:t>
            </w:r>
          </w:p>
          <w:p w14:paraId="10AC5077">
            <w:pPr>
              <w:spacing w:after="120"/>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游明朝" w:cs="Times New Roman"/>
                <w:sz w:val="20"/>
                <w:szCs w:val="20"/>
                <w:lang w:eastAsia="ja-JP"/>
              </w:rPr>
              <w:t xml:space="preserve"> Split files and then archive each file</w:t>
            </w:r>
          </w:p>
        </w:tc>
      </w:tr>
    </w:tbl>
    <w:p w14:paraId="1EA450FC">
      <w:pPr>
        <w:spacing w:after="180" w:line="240" w:lineRule="exact"/>
        <w:rPr>
          <w:rFonts w:hint="eastAsia" w:ascii="Times New Roman" w:hAnsi="Times New Roman" w:eastAsia="等线"/>
          <w:bCs/>
          <w:iCs/>
          <w:sz w:val="20"/>
          <w:szCs w:val="20"/>
          <w:lang w:val="en-US" w:eastAsia="zh-CN"/>
        </w:rPr>
      </w:pPr>
    </w:p>
    <w:p w14:paraId="799CD855">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The dataset format and training data file format are discussed and agreed. The discussion focus on training data,  while inference data and testing data also need to be considered.</w:t>
      </w:r>
    </w:p>
    <w:p w14:paraId="3936F047">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According to the email discussion on data sharing for AI/ML after RAN4 #112 meeting, the common understanding is that testing and inference data should be a subset of the training dataset. From this point of view, no need to have dedicated file to share testing/inference data seperately. But it is necessary to discuss which part of training dataset are used for testing and/or inference so that companies could obtain the alligned testing data and inference data. According to the email discussion, most companies propose that testing dataset should be 10-25% of the training dataset, but this is noe enough, at least it also need to allign the location, i.e. it is first 10%~25% or last 10%~25% of training detaset are for testing and/or inference.     </w:t>
      </w:r>
    </w:p>
    <w:p w14:paraId="69A1DA75">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3: it is proposed to discuss and allign on which part of training dataset are used for testing and/or inference .</w:t>
      </w:r>
    </w:p>
    <w:p w14:paraId="527F775B">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Another issue is about the </w:t>
      </w:r>
      <w:r>
        <w:rPr>
          <w:rFonts w:hint="default" w:ascii="Times New Roman" w:hAnsi="Times New Roman" w:eastAsia="等线"/>
          <w:bCs/>
          <w:iCs/>
          <w:sz w:val="20"/>
          <w:szCs w:val="20"/>
          <w:lang w:val="en-US" w:eastAsia="zh-CN"/>
        </w:rPr>
        <w:t>“</w:t>
      </w:r>
      <w:r>
        <w:rPr>
          <w:rFonts w:hint="eastAsia" w:ascii="Times New Roman" w:hAnsi="Times New Roman" w:eastAsia="等线"/>
          <w:bCs/>
          <w:iCs/>
          <w:sz w:val="20"/>
          <w:szCs w:val="20"/>
          <w:lang w:val="en-US" w:eastAsia="zh-CN"/>
        </w:rPr>
        <w:t>lifetime</w:t>
      </w:r>
      <w:r>
        <w:rPr>
          <w:rFonts w:hint="default" w:ascii="Times New Roman" w:hAnsi="Times New Roman" w:eastAsia="等线"/>
          <w:bCs/>
          <w:iCs/>
          <w:sz w:val="20"/>
          <w:szCs w:val="20"/>
          <w:lang w:val="en-US" w:eastAsia="zh-CN"/>
        </w:rPr>
        <w:t>”</w:t>
      </w:r>
      <w:r>
        <w:rPr>
          <w:rFonts w:hint="eastAsia" w:ascii="Times New Roman" w:hAnsi="Times New Roman" w:eastAsia="等线"/>
          <w:bCs/>
          <w:iCs/>
          <w:sz w:val="20"/>
          <w:szCs w:val="20"/>
          <w:lang w:val="en-US" w:eastAsia="zh-CN"/>
        </w:rPr>
        <w:t xml:space="preserve"> of the data/model. This can be discussed case by case. For the data/model captured in the TS, the lifetime could be indefinite. For the data/model uploaded as references for requirements definition, the lifetime could be one or several releases. For the data/model uploaded for companies allignement, the lifetime could be one or several meetings.</w:t>
      </w:r>
    </w:p>
    <w:p w14:paraId="1EB2DA27">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4: it is proposed to discuss the </w:t>
      </w:r>
      <w:r>
        <w:rPr>
          <w:rFonts w:hint="default" w:ascii="Times New Roman" w:hAnsi="Times New Roman" w:eastAsia="等线"/>
          <w:b/>
          <w:bCs w:val="0"/>
          <w:i/>
          <w:iCs w:val="0"/>
          <w:sz w:val="20"/>
          <w:szCs w:val="20"/>
          <w:lang w:val="en-US" w:eastAsia="zh-CN"/>
        </w:rPr>
        <w:t>“</w:t>
      </w:r>
      <w:r>
        <w:rPr>
          <w:rFonts w:hint="eastAsia" w:ascii="Times New Roman" w:hAnsi="Times New Roman" w:eastAsia="等线"/>
          <w:b/>
          <w:bCs w:val="0"/>
          <w:i/>
          <w:iCs w:val="0"/>
          <w:sz w:val="20"/>
          <w:szCs w:val="20"/>
          <w:lang w:val="en-US" w:eastAsia="zh-CN"/>
        </w:rPr>
        <w:t>lifetime</w:t>
      </w:r>
      <w:r>
        <w:rPr>
          <w:rFonts w:hint="default" w:ascii="Times New Roman" w:hAnsi="Times New Roman" w:eastAsia="等线"/>
          <w:b/>
          <w:bCs w:val="0"/>
          <w:i/>
          <w:iCs w:val="0"/>
          <w:sz w:val="20"/>
          <w:szCs w:val="20"/>
          <w:lang w:val="en-US" w:eastAsia="zh-CN"/>
        </w:rPr>
        <w:t>”</w:t>
      </w:r>
      <w:r>
        <w:rPr>
          <w:rFonts w:hint="eastAsia" w:ascii="Times New Roman" w:hAnsi="Times New Roman" w:eastAsia="等线"/>
          <w:b/>
          <w:bCs w:val="0"/>
          <w:i/>
          <w:iCs w:val="0"/>
          <w:sz w:val="20"/>
          <w:szCs w:val="20"/>
          <w:lang w:val="en-US" w:eastAsia="zh-CN"/>
        </w:rPr>
        <w:t xml:space="preserve"> of the data/model in a case by case manner. At least following cases are considered:</w:t>
      </w:r>
    </w:p>
    <w:p w14:paraId="695B601E">
      <w:pPr>
        <w:numPr>
          <w:ilvl w:val="0"/>
          <w:numId w:val="10"/>
        </w:numPr>
        <w:spacing w:after="180" w:line="240" w:lineRule="exact"/>
        <w:ind w:left="840" w:leftChars="0" w:hanging="420" w:firstLineChars="0"/>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data/model captured in the TS</w:t>
      </w:r>
    </w:p>
    <w:p w14:paraId="694F2C07">
      <w:pPr>
        <w:numPr>
          <w:ilvl w:val="0"/>
          <w:numId w:val="10"/>
        </w:numPr>
        <w:spacing w:after="180" w:line="240" w:lineRule="exact"/>
        <w:ind w:left="840" w:leftChars="0" w:hanging="420" w:firstLineChars="0"/>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data/model uploaded as references for requirements definition</w:t>
      </w:r>
    </w:p>
    <w:p w14:paraId="220A5D1D">
      <w:pPr>
        <w:numPr>
          <w:ilvl w:val="0"/>
          <w:numId w:val="10"/>
        </w:numPr>
        <w:spacing w:after="180" w:line="240" w:lineRule="exact"/>
        <w:ind w:left="840" w:leftChars="0" w:hanging="420" w:firstLineChars="0"/>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data/model uploaded for companies allignement</w:t>
      </w:r>
    </w:p>
    <w:p w14:paraId="2D86EDF0">
      <w:pPr>
        <w:spacing w:after="180" w:line="240" w:lineRule="exact"/>
        <w:rPr>
          <w:rFonts w:hint="eastAsia" w:ascii="Times New Roman" w:hAnsi="Times New Roman" w:eastAsia="Yu Mincho"/>
          <w:b/>
          <w:bCs/>
          <w:i/>
          <w:iCs/>
          <w:sz w:val="20"/>
          <w:szCs w:val="20"/>
          <w:lang w:val="en-US" w:eastAsia="zh-CN"/>
        </w:rPr>
      </w:pPr>
    </w:p>
    <w:p w14:paraId="3E82CF69">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28E3A8FB">
      <w:pPr>
        <w:tabs>
          <w:tab w:val="left" w:pos="1134"/>
        </w:tabs>
        <w:spacing w:after="180" w:line="240" w:lineRule="exact"/>
        <w:rPr>
          <w:rFonts w:hint="eastAsia" w:ascii="Times New Roman" w:hAnsi="Times New Roman"/>
          <w:sz w:val="20"/>
          <w:szCs w:val="20"/>
        </w:rPr>
      </w:pPr>
      <w:r>
        <w:rPr>
          <w:rFonts w:hint="eastAsia" w:ascii="Times New Roman" w:hAnsi="Times New Roman"/>
          <w:sz w:val="20"/>
          <w:szCs w:val="20"/>
          <w:lang w:val="en-GB"/>
        </w:rPr>
        <w:t>T</w:t>
      </w:r>
      <w:r>
        <w:rPr>
          <w:rFonts w:ascii="Times New Roman" w:hAnsi="Times New Roman"/>
          <w:sz w:val="20"/>
          <w:szCs w:val="20"/>
        </w:rPr>
        <w:t>his contribution</w:t>
      </w:r>
      <w:r>
        <w:rPr>
          <w:rFonts w:hint="eastAsia" w:ascii="Times New Roman" w:hAnsi="Times New Roman"/>
          <w:sz w:val="20"/>
          <w:szCs w:val="20"/>
        </w:rPr>
        <w:t xml:space="preserve"> provides discussion on</w:t>
      </w:r>
      <w:r>
        <w:rPr>
          <w:rFonts w:ascii="Times New Roman" w:hAnsi="Times New Roman"/>
          <w:sz w:val="20"/>
          <w:szCs w:val="20"/>
        </w:rPr>
        <w:t xml:space="preserve"> </w:t>
      </w:r>
      <w:r>
        <w:rPr>
          <w:rFonts w:hint="eastAsia" w:ascii="Times New Roman" w:hAnsi="Times New Roman"/>
          <w:sz w:val="20"/>
          <w:szCs w:val="20"/>
        </w:rPr>
        <w:t>testability and interoperability issues for CSI compression. The proposals are:</w:t>
      </w:r>
    </w:p>
    <w:p w14:paraId="19A5D719">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
          <w:bCs w:val="0"/>
          <w:i/>
          <w:iCs w:val="0"/>
          <w:sz w:val="20"/>
          <w:szCs w:val="20"/>
          <w:lang w:val="en-US" w:eastAsia="zh-CN"/>
        </w:rPr>
        <w:t xml:space="preserve">Proposal 1: for </w:t>
      </w:r>
      <w:r>
        <w:rPr>
          <w:rFonts w:hint="eastAsia" w:ascii="Times New Roman" w:hAnsi="Times New Roman" w:cs="Times New Roman"/>
          <w:b/>
          <w:bCs w:val="0"/>
          <w:i/>
          <w:iCs w:val="0"/>
          <w:sz w:val="20"/>
          <w:szCs w:val="20"/>
          <w:lang w:val="en-US" w:eastAsia="zh-CN"/>
        </w:rPr>
        <w:t>track 2 of option 3, it is proposed to agree on how to create the mixed dataset.</w:t>
      </w:r>
      <w:r>
        <w:rPr>
          <w:rFonts w:hint="eastAsia" w:ascii="Times New Roman" w:hAnsi="Times New Roman" w:eastAsia="等线"/>
          <w:b/>
          <w:bCs w:val="0"/>
          <w:i/>
          <w:iCs w:val="0"/>
          <w:sz w:val="20"/>
          <w:szCs w:val="20"/>
          <w:lang w:val="en-US" w:eastAsia="zh-CN"/>
        </w:rPr>
        <w:t xml:space="preserve">    </w:t>
      </w:r>
    </w:p>
    <w:p w14:paraId="5ED078A7">
      <w:pPr>
        <w:spacing w:after="180" w:line="240" w:lineRule="exact"/>
        <w:rPr>
          <w:rFonts w:ascii="Times New Roman" w:hAnsi="Times New Roman" w:eastAsia="Yu Mincho"/>
          <w:b/>
          <w:bCs/>
          <w:i/>
          <w:iCs/>
          <w:sz w:val="20"/>
          <w:szCs w:val="20"/>
          <w:lang w:eastAsia="ja-JP"/>
        </w:rPr>
      </w:pPr>
      <w:r>
        <w:rPr>
          <w:rFonts w:hint="eastAsia" w:ascii="Times New Roman" w:hAnsi="Times New Roman" w:eastAsia="宋体" w:cs="Times New Roman"/>
          <w:b/>
          <w:bCs/>
          <w:i/>
          <w:iCs w:val="0"/>
          <w:sz w:val="20"/>
          <w:szCs w:val="20"/>
          <w:lang w:val="en-US" w:eastAsia="zh-CN"/>
        </w:rPr>
        <w:t xml:space="preserve">Proposal </w:t>
      </w:r>
      <w:r>
        <w:rPr>
          <w:rFonts w:hint="eastAsia" w:ascii="Times New Roman" w:hAnsi="Times New Roman" w:cs="Times New Roman"/>
          <w:b/>
          <w:bCs/>
          <w:i/>
          <w:iCs w:val="0"/>
          <w:sz w:val="20"/>
          <w:szCs w:val="20"/>
          <w:lang w:val="en-US" w:eastAsia="zh-CN"/>
        </w:rPr>
        <w:t>2</w:t>
      </w:r>
      <w:r>
        <w:rPr>
          <w:rFonts w:hint="eastAsia" w:ascii="Times New Roman" w:hAnsi="Times New Roman" w:eastAsia="宋体" w:cs="Times New Roman"/>
          <w:b/>
          <w:bCs/>
          <w:i/>
          <w:iCs w:val="0"/>
          <w:sz w:val="20"/>
          <w:szCs w:val="20"/>
          <w:lang w:val="en-US" w:eastAsia="zh-CN"/>
        </w:rPr>
        <w:t xml:space="preserve">: </w:t>
      </w:r>
      <w:r>
        <w:rPr>
          <w:rFonts w:hint="eastAsia" w:ascii="Times New Roman" w:hAnsi="Times New Roman" w:cs="Times New Roman"/>
          <w:b/>
          <w:bCs/>
          <w:i/>
          <w:iCs w:val="0"/>
          <w:sz w:val="20"/>
          <w:szCs w:val="20"/>
          <w:lang w:val="en-US" w:eastAsia="zh-CN"/>
        </w:rPr>
        <w:t>it is proposed to discuss if option 3 is feasible, whether option 4 is still needed</w:t>
      </w:r>
      <w:r>
        <w:rPr>
          <w:rFonts w:ascii="Times New Roman" w:hAnsi="Times New Roman" w:eastAsia="Yu Mincho"/>
          <w:b/>
          <w:bCs/>
          <w:i/>
          <w:iCs/>
          <w:sz w:val="20"/>
          <w:szCs w:val="20"/>
          <w:lang w:eastAsia="ja-JP"/>
        </w:rPr>
        <w:t>.</w:t>
      </w:r>
    </w:p>
    <w:p w14:paraId="341F3F36">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3: it is proposed to discuss and allign on which part of training dataset are used for testing and/or inference .</w:t>
      </w:r>
    </w:p>
    <w:p w14:paraId="06687DDA">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4: it is proposed to discuss the </w:t>
      </w:r>
      <w:r>
        <w:rPr>
          <w:rFonts w:hint="default" w:ascii="Times New Roman" w:hAnsi="Times New Roman" w:eastAsia="等线"/>
          <w:b/>
          <w:bCs w:val="0"/>
          <w:i/>
          <w:iCs w:val="0"/>
          <w:sz w:val="20"/>
          <w:szCs w:val="20"/>
          <w:lang w:val="en-US" w:eastAsia="zh-CN"/>
        </w:rPr>
        <w:t>“</w:t>
      </w:r>
      <w:r>
        <w:rPr>
          <w:rFonts w:hint="eastAsia" w:ascii="Times New Roman" w:hAnsi="Times New Roman" w:eastAsia="等线"/>
          <w:b/>
          <w:bCs w:val="0"/>
          <w:i/>
          <w:iCs w:val="0"/>
          <w:sz w:val="20"/>
          <w:szCs w:val="20"/>
          <w:lang w:val="en-US" w:eastAsia="zh-CN"/>
        </w:rPr>
        <w:t>lifetime</w:t>
      </w:r>
      <w:r>
        <w:rPr>
          <w:rFonts w:hint="default" w:ascii="Times New Roman" w:hAnsi="Times New Roman" w:eastAsia="等线"/>
          <w:b/>
          <w:bCs w:val="0"/>
          <w:i/>
          <w:iCs w:val="0"/>
          <w:sz w:val="20"/>
          <w:szCs w:val="20"/>
          <w:lang w:val="en-US" w:eastAsia="zh-CN"/>
        </w:rPr>
        <w:t>”</w:t>
      </w:r>
      <w:r>
        <w:rPr>
          <w:rFonts w:hint="eastAsia" w:ascii="Times New Roman" w:hAnsi="Times New Roman" w:eastAsia="等线"/>
          <w:b/>
          <w:bCs w:val="0"/>
          <w:i/>
          <w:iCs w:val="0"/>
          <w:sz w:val="20"/>
          <w:szCs w:val="20"/>
          <w:lang w:val="en-US" w:eastAsia="zh-CN"/>
        </w:rPr>
        <w:t xml:space="preserve"> of the data/model in a case by case manner. At least following cases are considered:</w:t>
      </w:r>
    </w:p>
    <w:p w14:paraId="00546CFD">
      <w:pPr>
        <w:numPr>
          <w:ilvl w:val="0"/>
          <w:numId w:val="10"/>
        </w:numPr>
        <w:spacing w:after="180" w:line="240" w:lineRule="exact"/>
        <w:ind w:left="840" w:leftChars="0" w:hanging="420" w:firstLineChars="0"/>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data/model captured in the TS</w:t>
      </w:r>
    </w:p>
    <w:p w14:paraId="26B26A98">
      <w:pPr>
        <w:numPr>
          <w:ilvl w:val="0"/>
          <w:numId w:val="10"/>
        </w:numPr>
        <w:spacing w:after="180" w:line="240" w:lineRule="exact"/>
        <w:ind w:left="840" w:leftChars="0" w:hanging="420" w:firstLineChars="0"/>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data/model uploaded as references for requirements definition</w:t>
      </w:r>
    </w:p>
    <w:p w14:paraId="4C387EE7">
      <w:pPr>
        <w:numPr>
          <w:ilvl w:val="0"/>
          <w:numId w:val="10"/>
        </w:numPr>
        <w:spacing w:after="180" w:line="240" w:lineRule="exact"/>
        <w:ind w:left="840" w:leftChars="0" w:hanging="420" w:firstLineChars="0"/>
        <w:rPr>
          <w:rFonts w:hint="eastAsia" w:ascii="Times New Roman" w:hAnsi="Times New Roman"/>
          <w:sz w:val="20"/>
          <w:szCs w:val="20"/>
        </w:rPr>
      </w:pPr>
      <w:r>
        <w:rPr>
          <w:rFonts w:hint="eastAsia" w:ascii="Times New Roman" w:hAnsi="Times New Roman" w:eastAsia="等线"/>
          <w:b/>
          <w:bCs w:val="0"/>
          <w:i/>
          <w:iCs w:val="0"/>
          <w:sz w:val="20"/>
          <w:szCs w:val="20"/>
          <w:lang w:val="en-US" w:eastAsia="zh-CN"/>
        </w:rPr>
        <w:t>data/model uploaded for companies allignement</w:t>
      </w:r>
    </w:p>
    <w:p w14:paraId="385898E3">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27058702">
      <w:pPr>
        <w:pStyle w:val="12"/>
        <w:framePr w:wrap="auto" w:vAnchor="margin" w:hAnchor="text" w:yAlign="inline"/>
        <w:numPr>
          <w:ilvl w:val="0"/>
          <w:numId w:val="11"/>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 xml:space="preserve">243245, </w:t>
      </w:r>
      <w:r>
        <w:rPr>
          <w:rFonts w:hint="eastAsia" w:ascii="Times" w:hAnsi="Times" w:eastAsia="宋体"/>
          <w:b w:val="0"/>
          <w:sz w:val="20"/>
          <w:lang w:eastAsia="zh-CN"/>
        </w:rPr>
        <w:t>New SID: Study on Artificial Intelligence (AI)/Machine Learning (ML) for NR air interface Phase 2</w:t>
      </w:r>
    </w:p>
    <w:p w14:paraId="58C6DECE">
      <w:pPr>
        <w:pStyle w:val="12"/>
        <w:framePr w:wrap="auto" w:vAnchor="margin" w:hAnchor="text" w:yAlign="inline"/>
        <w:numPr>
          <w:ilvl w:val="0"/>
          <w:numId w:val="11"/>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 xml:space="preserve">242399, </w:t>
      </w:r>
      <w:r>
        <w:rPr>
          <w:rFonts w:hint="eastAsia" w:ascii="Times" w:hAnsi="Times" w:eastAsia="宋体"/>
          <w:b w:val="0"/>
          <w:sz w:val="20"/>
          <w:lang w:eastAsia="zh-CN"/>
        </w:rPr>
        <w:t>Revised WID on Artificial Intelligence (AI)/Machine Learning (ML) for NR Air Interface</w:t>
      </w:r>
    </w:p>
    <w:p w14:paraId="0A4C43B9">
      <w:pPr>
        <w:pStyle w:val="12"/>
        <w:framePr w:wrap="auto" w:vAnchor="margin" w:hAnchor="text" w:yAlign="inline"/>
        <w:numPr>
          <w:ilvl w:val="0"/>
          <w:numId w:val="11"/>
        </w:numPr>
        <w:ind w:right="400"/>
        <w:jc w:val="both"/>
        <w:rPr>
          <w:rFonts w:ascii="Times" w:hAnsi="Times" w:eastAsia="宋体"/>
          <w:b w:val="0"/>
          <w:sz w:val="20"/>
          <w:lang w:eastAsia="zh-CN"/>
        </w:rPr>
      </w:pPr>
      <w:r>
        <w:rPr>
          <w:rFonts w:hint="eastAsia" w:ascii="Times" w:hAnsi="Times" w:eastAsia="宋体"/>
          <w:b w:val="0"/>
          <w:sz w:val="20"/>
          <w:lang w:eastAsia="zh-CN"/>
        </w:rPr>
        <w:t>R4-2420513</w:t>
      </w:r>
      <w:r>
        <w:rPr>
          <w:rFonts w:hint="eastAsia" w:ascii="Times" w:hAnsi="Times" w:eastAsia="宋体"/>
          <w:b w:val="0"/>
          <w:sz w:val="20"/>
          <w:lang w:val="en-US" w:eastAsia="zh-CN"/>
        </w:rPr>
        <w:t>, WF on AI/ML air interface part 1, Qualcomm Incorporated</w:t>
      </w:r>
    </w:p>
    <w:p w14:paraId="677DFB53">
      <w:pPr>
        <w:pStyle w:val="12"/>
        <w:framePr w:wrap="auto" w:vAnchor="margin" w:hAnchor="text" w:yAlign="inline"/>
        <w:numPr>
          <w:ilvl w:val="0"/>
          <w:numId w:val="11"/>
        </w:numPr>
        <w:ind w:right="400"/>
        <w:jc w:val="both"/>
        <w:rPr>
          <w:rFonts w:ascii="Times" w:hAnsi="Times" w:eastAsia="宋体"/>
          <w:b w:val="0"/>
          <w:sz w:val="20"/>
          <w:lang w:eastAsia="zh-CN"/>
        </w:rPr>
      </w:pPr>
      <w:r>
        <w:rPr>
          <w:rFonts w:hint="eastAsia" w:ascii="Times" w:hAnsi="Times" w:eastAsia="宋体"/>
          <w:b w:val="0"/>
          <w:sz w:val="20"/>
          <w:lang w:eastAsia="zh-CN"/>
        </w:rPr>
        <w:t>R4-2417212</w:t>
      </w:r>
      <w:r>
        <w:rPr>
          <w:rFonts w:hint="eastAsia" w:ascii="Times" w:hAnsi="Times" w:eastAsia="宋体"/>
          <w:b w:val="0"/>
          <w:sz w:val="20"/>
          <w:lang w:val="en-US" w:eastAsia="zh-CN"/>
        </w:rPr>
        <w:t>, WF on requirements for AI/ML air interface</w:t>
      </w:r>
      <w:r>
        <w:rPr>
          <w:rFonts w:hint="eastAsia" w:ascii="Times" w:hAnsi="Times" w:eastAsia="宋体"/>
          <w:b w:val="0"/>
          <w:sz w:val="20"/>
          <w:lang w:eastAsia="zh-CN"/>
        </w:rPr>
        <w:t>, Qualcomm Incorporated</w:t>
      </w:r>
    </w:p>
    <w:p w14:paraId="26C07E5D">
      <w:pPr>
        <w:pStyle w:val="12"/>
        <w:framePr w:wrap="auto" w:vAnchor="margin" w:hAnchor="text" w:yAlign="inline"/>
        <w:numPr>
          <w:ilvl w:val="0"/>
          <w:numId w:val="11"/>
        </w:numPr>
        <w:ind w:right="400"/>
        <w:jc w:val="both"/>
        <w:rPr>
          <w:rFonts w:ascii="Times" w:hAnsi="Times" w:eastAsia="宋体"/>
          <w:b w:val="0"/>
          <w:sz w:val="20"/>
          <w:lang w:eastAsia="zh-CN"/>
        </w:rPr>
      </w:pPr>
      <w:r>
        <w:rPr>
          <w:rFonts w:hint="eastAsia" w:ascii="Times" w:hAnsi="Times" w:eastAsia="宋体"/>
          <w:b w:val="0"/>
          <w:sz w:val="20"/>
          <w:lang w:eastAsia="zh-CN"/>
        </w:rPr>
        <w:t>R4-241</w:t>
      </w:r>
      <w:r>
        <w:rPr>
          <w:rFonts w:hint="eastAsia" w:ascii="Times" w:hAnsi="Times" w:eastAsia="宋体"/>
          <w:b w:val="0"/>
          <w:sz w:val="20"/>
          <w:lang w:val="en-US" w:eastAsia="zh-CN"/>
        </w:rPr>
        <w:t>4323</w:t>
      </w:r>
      <w:r>
        <w:rPr>
          <w:rFonts w:hint="eastAsia" w:ascii="Times" w:hAnsi="Times" w:eastAsia="宋体"/>
          <w:b w:val="0"/>
          <w:sz w:val="20"/>
          <w:lang w:eastAsia="zh-CN"/>
        </w:rPr>
        <w:t>, WF on AI/ML, Qualcomm Incorporated</w:t>
      </w:r>
    </w:p>
    <w:p w14:paraId="36BA34A8">
      <w:pPr>
        <w:pStyle w:val="12"/>
        <w:framePr w:wrap="auto" w:vAnchor="margin" w:hAnchor="text" w:yAlign="inline"/>
        <w:numPr>
          <w:ilvl w:val="0"/>
          <w:numId w:val="11"/>
        </w:numPr>
        <w:ind w:right="400"/>
        <w:jc w:val="both"/>
        <w:rPr>
          <w:rFonts w:ascii="Times" w:hAnsi="Times" w:eastAsia="宋体"/>
          <w:b w:val="0"/>
          <w:sz w:val="20"/>
          <w:lang w:eastAsia="zh-CN"/>
        </w:rPr>
      </w:pPr>
      <w:r>
        <w:rPr>
          <w:rFonts w:hint="eastAsia" w:ascii="Times" w:hAnsi="Times" w:eastAsia="宋体"/>
          <w:b w:val="0"/>
          <w:sz w:val="20"/>
          <w:lang w:eastAsia="zh-CN"/>
        </w:rPr>
        <w:t>R4-2410570, WF on AI/ML, Qualcomm Incorporated</w:t>
      </w:r>
    </w:p>
    <w:p w14:paraId="293AD1C9">
      <w:pPr>
        <w:pStyle w:val="12"/>
        <w:framePr w:wrap="auto" w:vAnchor="margin" w:hAnchor="text" w:yAlign="inline"/>
        <w:numPr>
          <w:ilvl w:val="0"/>
          <w:numId w:val="11"/>
        </w:numPr>
        <w:ind w:right="400"/>
        <w:jc w:val="both"/>
        <w:rPr>
          <w:rFonts w:ascii="Times" w:hAnsi="Times" w:eastAsia="宋体"/>
          <w:b w:val="0"/>
          <w:sz w:val="20"/>
          <w:lang w:eastAsia="zh-CN"/>
        </w:rPr>
      </w:pPr>
      <w:r>
        <w:rPr>
          <w:rFonts w:hint="eastAsia" w:ascii="Times" w:hAnsi="Times" w:eastAsia="宋体"/>
          <w:b w:val="0"/>
          <w:sz w:val="20"/>
          <w:lang w:eastAsia="zh-CN"/>
        </w:rPr>
        <w:t>R4-2406617, WF on AI/ML, Qualcomm Incorporated</w:t>
      </w:r>
    </w:p>
    <w:p w14:paraId="6F4FCF3C">
      <w:pPr>
        <w:pStyle w:val="12"/>
        <w:framePr w:wrap="auto" w:vAnchor="margin" w:hAnchor="text" w:yAlign="inline"/>
        <w:ind w:right="400"/>
        <w:jc w:val="both"/>
        <w:rPr>
          <w:rFonts w:ascii="Times" w:hAnsi="Times" w:eastAsia="宋体"/>
          <w:b w:val="0"/>
          <w:sz w:val="20"/>
          <w:lang w:eastAsia="zh-CN"/>
        </w:rPr>
      </w:pPr>
      <w:r>
        <w:rPr>
          <w:rFonts w:hint="eastAsia" w:ascii="Times" w:hAnsi="Times" w:eastAsia="宋体"/>
          <w:b w:val="0"/>
          <w:sz w:val="20"/>
          <w:lang w:val="en-US" w:eastAsia="zh-CN"/>
        </w:rPr>
        <w:t xml:space="preserve">[5] 3GPP TR 38.843, Study on Artificial Intelligence (AI)/Machine Learning (ML) for NR air interface </w:t>
      </w:r>
    </w:p>
    <w:p w14:paraId="6D7B4C94">
      <w:pPr>
        <w:pStyle w:val="12"/>
        <w:framePr w:wrap="auto" w:vAnchor="margin" w:hAnchor="text" w:yAlign="inline"/>
        <w:ind w:right="400"/>
        <w:jc w:val="both"/>
        <w:rPr>
          <w:rFonts w:ascii="Times" w:hAnsi="Times" w:eastAsia="宋体"/>
          <w:b w:val="0"/>
          <w:sz w:val="20"/>
          <w:lang w:eastAsia="zh-CN"/>
        </w:rPr>
      </w:pPr>
    </w:p>
    <w:p w14:paraId="488D3585">
      <w:pPr>
        <w:pStyle w:val="12"/>
        <w:framePr w:wrap="auto" w:vAnchor="margin" w:hAnchor="text" w:yAlign="inline"/>
        <w:ind w:right="400"/>
        <w:jc w:val="both"/>
        <w:rPr>
          <w:rFonts w:hint="eastAsia" w:ascii="Times" w:hAnsi="Times" w:eastAsia="宋体"/>
          <w:b w:val="0"/>
          <w:sz w:val="20"/>
          <w:lang w:val="en-US" w:eastAsia="zh-CN"/>
        </w:rPr>
      </w:pPr>
    </w:p>
    <w:p w14:paraId="54E95341"/>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游明朝">
    <w:altName w:val="Yu Gothic"/>
    <w:panose1 w:val="00000000000000000000"/>
    <w:charset w:val="80"/>
    <w:family w:val="roman"/>
    <w:pitch w:val="default"/>
    <w:sig w:usb0="00000000" w:usb1="00000000" w:usb2="00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871401"/>
    <w:multiLevelType w:val="singleLevel"/>
    <w:tmpl w:val="F6871401"/>
    <w:lvl w:ilvl="0" w:tentative="0">
      <w:start w:val="1"/>
      <w:numFmt w:val="decimal"/>
      <w:suff w:val="space"/>
      <w:lvlText w:val="[%1]"/>
      <w:lvlJc w:val="left"/>
    </w:lvl>
  </w:abstractNum>
  <w:abstractNum w:abstractNumId="1">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39A0F717"/>
    <w:multiLevelType w:val="singleLevel"/>
    <w:tmpl w:val="39A0F717"/>
    <w:lvl w:ilvl="0" w:tentative="0">
      <w:start w:val="1"/>
      <w:numFmt w:val="bullet"/>
      <w:lvlText w:val=""/>
      <w:lvlJc w:val="left"/>
      <w:pPr>
        <w:ind w:left="420" w:hanging="420"/>
      </w:pPr>
      <w:rPr>
        <w:rFonts w:hint="default" w:ascii="Wingdings" w:hAnsi="Wingdings"/>
      </w:rPr>
    </w:lvl>
  </w:abstractNum>
  <w:abstractNum w:abstractNumId="3">
    <w:nsid w:val="3AA46647"/>
    <w:multiLevelType w:val="multilevel"/>
    <w:tmpl w:val="3AA46647"/>
    <w:lvl w:ilvl="0" w:tentative="0">
      <w:start w:val="1"/>
      <w:numFmt w:val="decimal"/>
      <w:pStyle w:val="11"/>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3AEFB341"/>
    <w:multiLevelType w:val="singleLevel"/>
    <w:tmpl w:val="3AEFB341"/>
    <w:lvl w:ilvl="0" w:tentative="0">
      <w:start w:val="1"/>
      <w:numFmt w:val="bullet"/>
      <w:lvlText w:val=""/>
      <w:lvlJc w:val="left"/>
      <w:pPr>
        <w:ind w:left="420" w:hanging="420"/>
      </w:pPr>
      <w:rPr>
        <w:rFonts w:hint="default" w:ascii="Wingdings" w:hAnsi="Wingdings"/>
      </w:rPr>
    </w:lvl>
  </w:abstractNum>
  <w:abstractNum w:abstractNumId="5">
    <w:nsid w:val="484D06AC"/>
    <w:multiLevelType w:val="multilevel"/>
    <w:tmpl w:val="484D06AC"/>
    <w:lvl w:ilvl="0" w:tentative="0">
      <w:start w:val="0"/>
      <w:numFmt w:val="bullet"/>
      <w:lvlText w:val="-"/>
      <w:lvlJc w:val="left"/>
      <w:pPr>
        <w:ind w:left="648" w:hanging="360"/>
      </w:pPr>
      <w:rPr>
        <w:rFonts w:hint="default" w:ascii="Times New Roman" w:hAnsi="Times New Roman" w:eastAsia="游明朝" w:cs="Times New Roman"/>
      </w:rPr>
    </w:lvl>
    <w:lvl w:ilvl="1" w:tentative="0">
      <w:start w:val="1"/>
      <w:numFmt w:val="bullet"/>
      <w:lvlText w:val=""/>
      <w:lvlJc w:val="left"/>
      <w:pPr>
        <w:ind w:left="1168" w:hanging="440"/>
      </w:pPr>
      <w:rPr>
        <w:rFonts w:hint="default" w:ascii="Wingdings" w:hAnsi="Wingdings"/>
      </w:rPr>
    </w:lvl>
    <w:lvl w:ilvl="2" w:tentative="0">
      <w:start w:val="1"/>
      <w:numFmt w:val="bullet"/>
      <w:lvlText w:val=""/>
      <w:lvlJc w:val="left"/>
      <w:pPr>
        <w:ind w:left="1608" w:hanging="440"/>
      </w:pPr>
      <w:rPr>
        <w:rFonts w:hint="default" w:ascii="Wingdings" w:hAnsi="Wingdings"/>
      </w:rPr>
    </w:lvl>
    <w:lvl w:ilvl="3" w:tentative="0">
      <w:start w:val="1"/>
      <w:numFmt w:val="bullet"/>
      <w:lvlText w:val=""/>
      <w:lvlJc w:val="left"/>
      <w:pPr>
        <w:ind w:left="2048" w:hanging="440"/>
      </w:pPr>
      <w:rPr>
        <w:rFonts w:hint="default" w:ascii="Wingdings" w:hAnsi="Wingdings"/>
      </w:rPr>
    </w:lvl>
    <w:lvl w:ilvl="4" w:tentative="0">
      <w:start w:val="1"/>
      <w:numFmt w:val="bullet"/>
      <w:lvlText w:val=""/>
      <w:lvlJc w:val="left"/>
      <w:pPr>
        <w:ind w:left="2488" w:hanging="440"/>
      </w:pPr>
      <w:rPr>
        <w:rFonts w:hint="default" w:ascii="Wingdings" w:hAnsi="Wingdings"/>
      </w:rPr>
    </w:lvl>
    <w:lvl w:ilvl="5" w:tentative="0">
      <w:start w:val="1"/>
      <w:numFmt w:val="bullet"/>
      <w:lvlText w:val=""/>
      <w:lvlJc w:val="left"/>
      <w:pPr>
        <w:ind w:left="2928" w:hanging="440"/>
      </w:pPr>
      <w:rPr>
        <w:rFonts w:hint="default" w:ascii="Wingdings" w:hAnsi="Wingdings"/>
      </w:rPr>
    </w:lvl>
    <w:lvl w:ilvl="6" w:tentative="0">
      <w:start w:val="1"/>
      <w:numFmt w:val="bullet"/>
      <w:lvlText w:val=""/>
      <w:lvlJc w:val="left"/>
      <w:pPr>
        <w:ind w:left="3368" w:hanging="440"/>
      </w:pPr>
      <w:rPr>
        <w:rFonts w:hint="default" w:ascii="Wingdings" w:hAnsi="Wingdings"/>
      </w:rPr>
    </w:lvl>
    <w:lvl w:ilvl="7" w:tentative="0">
      <w:start w:val="1"/>
      <w:numFmt w:val="bullet"/>
      <w:lvlText w:val=""/>
      <w:lvlJc w:val="left"/>
      <w:pPr>
        <w:ind w:left="3808" w:hanging="440"/>
      </w:pPr>
      <w:rPr>
        <w:rFonts w:hint="default" w:ascii="Wingdings" w:hAnsi="Wingdings"/>
      </w:rPr>
    </w:lvl>
    <w:lvl w:ilvl="8" w:tentative="0">
      <w:start w:val="1"/>
      <w:numFmt w:val="bullet"/>
      <w:lvlText w:val=""/>
      <w:lvlJc w:val="left"/>
      <w:pPr>
        <w:ind w:left="4248" w:hanging="440"/>
      </w:pPr>
      <w:rPr>
        <w:rFonts w:hint="default" w:ascii="Wingdings" w:hAnsi="Wingdings"/>
      </w:rPr>
    </w:lvl>
  </w:abstractNum>
  <w:abstractNum w:abstractNumId="6">
    <w:nsid w:val="52BF1D56"/>
    <w:multiLevelType w:val="multilevel"/>
    <w:tmpl w:val="52BF1D56"/>
    <w:lvl w:ilvl="0" w:tentative="0">
      <w:start w:val="0"/>
      <w:numFmt w:val="bullet"/>
      <w:lvlText w:val="-"/>
      <w:lvlJc w:val="left"/>
      <w:pPr>
        <w:tabs>
          <w:tab w:val="left" w:pos="-420"/>
        </w:tabs>
        <w:ind w:left="300" w:hanging="360"/>
      </w:pPr>
      <w:rPr>
        <w:rFonts w:hint="default" w:ascii="Times New Roman" w:hAnsi="Times New Roman" w:eastAsia="MS Mincho" w:cs="Times New Roman"/>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7">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8">
    <w:nsid w:val="5C53269D"/>
    <w:multiLevelType w:val="multilevel"/>
    <w:tmpl w:val="5C53269D"/>
    <w:lvl w:ilvl="0" w:tentative="0">
      <w:start w:val="1"/>
      <w:numFmt w:val="bullet"/>
      <w:lvlText w:val="-"/>
      <w:lvlJc w:val="left"/>
      <w:pPr>
        <w:ind w:left="720" w:hanging="360"/>
      </w:pPr>
      <w:rPr>
        <w:rFonts w:hint="default" w:ascii="Times New Roman" w:hAnsi="Times New Roman" w:cs="Times New Roman" w:eastAsiaTheme="minorHAnsi"/>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6123F646"/>
    <w:multiLevelType w:val="singleLevel"/>
    <w:tmpl w:val="6123F646"/>
    <w:lvl w:ilvl="0" w:tentative="0">
      <w:start w:val="1"/>
      <w:numFmt w:val="bullet"/>
      <w:lvlText w:val=""/>
      <w:lvlJc w:val="left"/>
      <w:pPr>
        <w:tabs>
          <w:tab w:val="left" w:pos="420"/>
        </w:tabs>
        <w:ind w:left="840" w:hanging="420"/>
      </w:pPr>
      <w:rPr>
        <w:rFonts w:hint="default" w:ascii="Wingdings" w:hAnsi="Wingdings"/>
      </w:rPr>
    </w:lvl>
  </w:abstractNum>
  <w:abstractNum w:abstractNumId="10">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10"/>
  </w:num>
  <w:num w:numId="2">
    <w:abstractNumId w:val="3"/>
  </w:num>
  <w:num w:numId="3">
    <w:abstractNumId w:val="1"/>
  </w:num>
  <w:num w:numId="4">
    <w:abstractNumId w:val="2"/>
  </w:num>
  <w:num w:numId="5">
    <w:abstractNumId w:val="6"/>
  </w:num>
  <w:num w:numId="6">
    <w:abstractNumId w:val="8"/>
  </w:num>
  <w:num w:numId="7">
    <w:abstractNumId w:val="7"/>
  </w:num>
  <w:num w:numId="8">
    <w:abstractNumId w:val="4"/>
  </w:num>
  <w:num w:numId="9">
    <w:abstractNumId w:val="5"/>
  </w:num>
  <w:num w:numId="10">
    <w:abstractNumId w:val="9"/>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3D36F2"/>
    <w:rsid w:val="04656FC2"/>
    <w:rsid w:val="0A12645E"/>
    <w:rsid w:val="0B7A65B2"/>
    <w:rsid w:val="0FE50EF5"/>
    <w:rsid w:val="15685863"/>
    <w:rsid w:val="15C5068C"/>
    <w:rsid w:val="1A4B52AF"/>
    <w:rsid w:val="1AC47FA8"/>
    <w:rsid w:val="1C9551F4"/>
    <w:rsid w:val="22D94934"/>
    <w:rsid w:val="2ABC535A"/>
    <w:rsid w:val="308E7578"/>
    <w:rsid w:val="31AF2660"/>
    <w:rsid w:val="383B64F5"/>
    <w:rsid w:val="3DEF01B7"/>
    <w:rsid w:val="421B1721"/>
    <w:rsid w:val="432F2884"/>
    <w:rsid w:val="47DD2D54"/>
    <w:rsid w:val="48EF0070"/>
    <w:rsid w:val="4B9225B0"/>
    <w:rsid w:val="4D3D03C8"/>
    <w:rsid w:val="4E6D0ABA"/>
    <w:rsid w:val="510E3CB2"/>
    <w:rsid w:val="53210098"/>
    <w:rsid w:val="6D205895"/>
    <w:rsid w:val="75886832"/>
    <w:rsid w:val="7A89656D"/>
    <w:rsid w:val="7C3F41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w:basedOn w:val="1"/>
    <w:qFormat/>
    <w:uiPriority w:val="0"/>
  </w:style>
  <w:style w:type="paragraph" w:styleId="5">
    <w:name w:val="Date"/>
    <w:basedOn w:val="1"/>
    <w:next w:val="1"/>
    <w:unhideWhenUsed/>
    <w:qFormat/>
    <w:uiPriority w:val="99"/>
    <w:pPr>
      <w:ind w:left="100" w:leftChars="2500"/>
    </w:pPr>
  </w:style>
  <w:style w:type="paragraph" w:styleId="6">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table" w:styleId="8">
    <w:name w:val="Table Grid"/>
    <w:basedOn w:val="7"/>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0">
    <w:name w:val="List Paragraph"/>
    <w:basedOn w:val="1"/>
    <w:qFormat/>
    <w:uiPriority w:val="34"/>
    <w:pPr>
      <w:widowControl/>
      <w:ind w:firstLine="420" w:firstLineChars="200"/>
      <w:jc w:val="left"/>
    </w:pPr>
    <w:rPr>
      <w:rFonts w:ascii="宋体" w:hAnsi="宋体"/>
      <w:kern w:val="0"/>
    </w:rPr>
  </w:style>
  <w:style w:type="paragraph" w:customStyle="1" w:styleId="11">
    <w:name w:val="Proposal"/>
    <w:basedOn w:val="4"/>
    <w:qFormat/>
    <w:uiPriority w:val="0"/>
    <w:pPr>
      <w:numPr>
        <w:ilvl w:val="0"/>
        <w:numId w:val="2"/>
      </w:numPr>
      <w:tabs>
        <w:tab w:val="left" w:pos="1701"/>
      </w:tabs>
      <w:spacing w:after="120" w:line="259" w:lineRule="auto"/>
      <w:jc w:val="both"/>
    </w:pPr>
    <w:rPr>
      <w:rFonts w:ascii="Arial" w:hAnsi="Arial" w:eastAsia="Calibri" w:cs="Times New Roman"/>
      <w:b/>
      <w:bCs/>
      <w:szCs w:val="22"/>
      <w:lang w:val="en-US" w:eastAsia="zh-CN"/>
    </w:rPr>
  </w:style>
  <w:style w:type="paragraph" w:customStyle="1" w:styleId="1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2024-11-06T09:33:00Z</dcterms:created>
  <dc:creator>cmcc</dc:creator>
  <cp:lastModifiedBy>Jingjing Chen_CMCC</cp:lastModifiedBy>
  <dcterms:modified xsi:type="dcterms:W3CDTF">2025-02-07T08:45:54Z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6869B0C1A34749A384ADE3AAD7A61322</vt:lpwstr>
  </property>
</Properties>
</file>